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jc w:val="center"/>
        <w:rPr>
          <w:rFonts w:ascii="方正小标宋简体" w:eastAsia="方正小标宋简体"/>
          <w:color w:val="auto"/>
          <w:sz w:val="52"/>
          <w:szCs w:val="52"/>
          <w:highlight w:val="none"/>
        </w:rPr>
      </w:pPr>
      <w:r>
        <w:rPr>
          <w:rFonts w:hint="eastAsia" w:ascii="方正小标宋简体" w:eastAsia="方正小标宋简体"/>
          <w:color w:val="auto"/>
          <w:sz w:val="52"/>
          <w:szCs w:val="52"/>
          <w:highlight w:val="none"/>
          <w:lang w:val="en-US" w:eastAsia="zh-CN"/>
        </w:rPr>
        <w:t>广州从化净水有限公司2024年太平厂硫酸铝加药间改造项目</w:t>
      </w:r>
      <w:r>
        <w:rPr>
          <w:rFonts w:hint="eastAsia" w:ascii="方正小标宋简体" w:eastAsia="方正小标宋简体"/>
          <w:color w:val="auto"/>
          <w:sz w:val="52"/>
          <w:szCs w:val="52"/>
          <w:highlight w:val="none"/>
        </w:rPr>
        <w:t>采购文件</w:t>
      </w: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hint="eastAsia"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hint="eastAsia" w:ascii="黑体" w:hAnsi="黑体" w:eastAsia="黑体"/>
          <w:color w:val="auto"/>
          <w:sz w:val="32"/>
          <w:szCs w:val="32"/>
          <w:highlight w:val="none"/>
        </w:rPr>
      </w:pPr>
      <w:r>
        <w:rPr>
          <w:rFonts w:hint="eastAsia" w:ascii="黑体" w:hAnsi="黑体" w:eastAsia="黑体" w:cs="仿宋_GB2312"/>
          <w:color w:val="auto"/>
          <w:sz w:val="32"/>
          <w:szCs w:val="32"/>
          <w:highlight w:val="none"/>
          <w:lang w:val="en-US" w:eastAsia="zh-CN"/>
        </w:rPr>
        <w:t>广州从化净水有限公司</w:t>
      </w:r>
    </w:p>
    <w:p>
      <w:pPr>
        <w:jc w:val="center"/>
        <w:rPr>
          <w:rFonts w:hint="eastAsia" w:ascii="黑体" w:hAnsi="黑体" w:eastAsia="黑体" w:cs="仿宋_GB2312"/>
          <w:color w:val="auto"/>
          <w:sz w:val="32"/>
          <w:szCs w:val="32"/>
          <w:highlight w:val="none"/>
        </w:rPr>
      </w:pPr>
      <w:r>
        <w:rPr>
          <w:rFonts w:hint="eastAsia" w:ascii="黑体" w:hAnsi="黑体" w:eastAsia="黑体"/>
          <w:color w:val="auto"/>
          <w:sz w:val="32"/>
          <w:szCs w:val="32"/>
          <w:highlight w:val="none"/>
        </w:rPr>
        <w:t>二</w:t>
      </w:r>
      <w:r>
        <w:rPr>
          <w:rFonts w:hint="eastAsia" w:ascii="黑体" w:hAnsi="黑体" w:eastAsia="黑体" w:cs="宋体"/>
          <w:color w:val="auto"/>
          <w:sz w:val="32"/>
          <w:szCs w:val="32"/>
          <w:highlight w:val="none"/>
        </w:rPr>
        <w:t>〇</w:t>
      </w:r>
      <w:r>
        <w:rPr>
          <w:rFonts w:hint="eastAsia" w:ascii="黑体" w:hAnsi="黑体" w:eastAsia="黑体" w:cs="仿宋_GB2312"/>
          <w:color w:val="auto"/>
          <w:sz w:val="32"/>
          <w:szCs w:val="32"/>
          <w:highlight w:val="none"/>
        </w:rPr>
        <w:t>二</w:t>
      </w:r>
      <w:r>
        <w:rPr>
          <w:rFonts w:hint="eastAsia" w:ascii="黑体" w:hAnsi="黑体" w:eastAsia="黑体" w:cs="仿宋_GB2312"/>
          <w:color w:val="auto"/>
          <w:sz w:val="32"/>
          <w:szCs w:val="32"/>
          <w:highlight w:val="none"/>
          <w:lang w:val="en-US" w:eastAsia="zh-CN"/>
        </w:rPr>
        <w:t>四</w:t>
      </w:r>
      <w:r>
        <w:rPr>
          <w:rFonts w:hint="eastAsia" w:ascii="黑体" w:hAnsi="黑体" w:eastAsia="黑体" w:cs="仿宋_GB2312"/>
          <w:color w:val="auto"/>
          <w:sz w:val="32"/>
          <w:szCs w:val="32"/>
          <w:highlight w:val="none"/>
        </w:rPr>
        <w:t>年</w:t>
      </w:r>
      <w:r>
        <w:rPr>
          <w:rFonts w:hint="eastAsia" w:ascii="黑体" w:hAnsi="黑体" w:eastAsia="黑体" w:cs="仿宋_GB2312"/>
          <w:color w:val="auto"/>
          <w:sz w:val="32"/>
          <w:szCs w:val="32"/>
          <w:highlight w:val="none"/>
          <w:lang w:val="en-US" w:eastAsia="zh-CN"/>
        </w:rPr>
        <w:t>四</w:t>
      </w:r>
      <w:r>
        <w:rPr>
          <w:rFonts w:hint="eastAsia" w:ascii="黑体" w:hAnsi="黑体" w:eastAsia="黑体" w:cs="仿宋_GB2312"/>
          <w:color w:val="auto"/>
          <w:sz w:val="32"/>
          <w:szCs w:val="32"/>
          <w:highlight w:val="none"/>
        </w:rPr>
        <w:t>月</w:t>
      </w:r>
    </w:p>
    <w:p>
      <w:pPr>
        <w:jc w:val="center"/>
        <w:rPr>
          <w:rFonts w:ascii="黑体" w:hAnsi="黑体" w:eastAsia="黑体" w:cs="仿宋_GB2312"/>
          <w:color w:val="auto"/>
          <w:sz w:val="32"/>
          <w:szCs w:val="32"/>
          <w:highlight w:val="none"/>
        </w:rPr>
      </w:pPr>
      <w:r>
        <w:rPr>
          <w:rFonts w:ascii="黑体" w:hAnsi="黑体" w:eastAsia="黑体" w:cs="仿宋_GB2312"/>
          <w:color w:val="auto"/>
          <w:sz w:val="32"/>
          <w:szCs w:val="32"/>
          <w:highlight w:val="none"/>
        </w:rPr>
        <w:br w:type="page"/>
      </w:r>
    </w:p>
    <w:p>
      <w:pPr>
        <w:rPr>
          <w:color w:val="auto"/>
          <w:highlight w:val="none"/>
        </w:rPr>
      </w:pPr>
    </w:p>
    <w:p>
      <w:pPr>
        <w:pStyle w:val="34"/>
        <w:adjustRightInd w:val="0"/>
        <w:snapToGrid w:val="0"/>
        <w:spacing w:before="0" w:line="600" w:lineRule="exact"/>
        <w:jc w:val="center"/>
        <w:rPr>
          <w:rFonts w:hint="default" w:ascii="方正小标宋简体" w:eastAsia="方正小标宋简体"/>
          <w:b/>
          <w:color w:val="auto"/>
          <w:sz w:val="44"/>
          <w:szCs w:val="44"/>
          <w:highlight w:val="none"/>
          <w:lang w:val="en-US" w:eastAsia="zh-CN"/>
        </w:rPr>
      </w:pPr>
      <w:r>
        <w:rPr>
          <w:rFonts w:hint="eastAsia" w:ascii="方正小标宋简体" w:eastAsia="方正小标宋简体"/>
          <w:b/>
          <w:color w:val="auto"/>
          <w:sz w:val="44"/>
          <w:szCs w:val="44"/>
          <w:highlight w:val="none"/>
          <w:lang w:val="en-US" w:eastAsia="zh-CN"/>
        </w:rPr>
        <w:t>目录</w:t>
      </w:r>
    </w:p>
    <w:p>
      <w:pPr>
        <w:rPr>
          <w:rFonts w:asciiTheme="minorEastAsia" w:hAnsiTheme="minorEastAsia"/>
          <w:color w:val="auto"/>
          <w:sz w:val="24"/>
          <w:szCs w:val="24"/>
          <w:highlight w:val="none"/>
        </w:rPr>
      </w:pPr>
    </w:p>
    <w:p>
      <w:pPr>
        <w:pStyle w:val="19"/>
        <w:numPr>
          <w:ilvl w:val="0"/>
          <w:numId w:val="1"/>
        </w:numPr>
        <w:tabs>
          <w:tab w:val="right" w:pos="8844"/>
        </w:tabs>
        <w:rPr>
          <w:rFonts w:hint="eastAsia"/>
          <w:color w:val="auto"/>
          <w:highlight w:val="none"/>
          <w:lang w:val="en-US" w:eastAsia="zh-CN"/>
        </w:rPr>
      </w:pPr>
      <w:r>
        <w:rPr>
          <w:rFonts w:hint="eastAsia"/>
          <w:color w:val="auto"/>
          <w:highlight w:val="none"/>
          <w:lang w:val="en-US" w:eastAsia="zh-CN"/>
        </w:rPr>
        <w:t>采购公告（采购邀请书）</w:t>
      </w:r>
    </w:p>
    <w:p>
      <w:pPr>
        <w:pStyle w:val="19"/>
        <w:numPr>
          <w:ilvl w:val="0"/>
          <w:numId w:val="1"/>
        </w:numPr>
        <w:tabs>
          <w:tab w:val="right" w:pos="8844"/>
        </w:tabs>
        <w:rPr>
          <w:color w:val="auto"/>
          <w:highlight w:val="none"/>
        </w:rPr>
      </w:pPr>
      <w:r>
        <w:rPr>
          <w:rFonts w:hint="eastAsia"/>
          <w:color w:val="auto"/>
          <w:highlight w:val="none"/>
          <w:lang w:val="en-US" w:eastAsia="zh-CN"/>
        </w:rPr>
        <w:t>供应商须知</w:t>
      </w:r>
    </w:p>
    <w:p>
      <w:pPr>
        <w:pStyle w:val="19"/>
        <w:numPr>
          <w:ilvl w:val="0"/>
          <w:numId w:val="1"/>
        </w:numPr>
        <w:tabs>
          <w:tab w:val="right" w:pos="8844"/>
        </w:tabs>
        <w:rPr>
          <w:color w:val="auto"/>
          <w:highlight w:val="none"/>
        </w:rPr>
      </w:pPr>
      <w:r>
        <w:rPr>
          <w:rFonts w:hint="eastAsia"/>
          <w:color w:val="auto"/>
          <w:highlight w:val="none"/>
          <w:lang w:val="en-US" w:eastAsia="zh-CN"/>
        </w:rPr>
        <w:t>采购方法</w:t>
      </w:r>
    </w:p>
    <w:p>
      <w:pPr>
        <w:pStyle w:val="19"/>
        <w:numPr>
          <w:ilvl w:val="0"/>
          <w:numId w:val="1"/>
        </w:numPr>
        <w:tabs>
          <w:tab w:val="right" w:pos="8844"/>
        </w:tabs>
        <w:rPr>
          <w:color w:val="auto"/>
          <w:highlight w:val="none"/>
        </w:rPr>
      </w:pPr>
      <w:r>
        <w:rPr>
          <w:rFonts w:hint="eastAsia"/>
          <w:color w:val="auto"/>
          <w:highlight w:val="none"/>
          <w:lang w:val="en-US" w:eastAsia="zh-CN"/>
        </w:rPr>
        <w:t>评审方法</w:t>
      </w:r>
    </w:p>
    <w:p>
      <w:pPr>
        <w:pStyle w:val="19"/>
        <w:numPr>
          <w:ilvl w:val="0"/>
          <w:numId w:val="1"/>
        </w:numPr>
        <w:tabs>
          <w:tab w:val="right" w:pos="8844"/>
        </w:tabs>
        <w:rPr>
          <w:color w:val="auto"/>
          <w:highlight w:val="none"/>
        </w:rPr>
      </w:pPr>
      <w:r>
        <w:rPr>
          <w:rFonts w:hint="eastAsia"/>
          <w:color w:val="auto"/>
          <w:highlight w:val="none"/>
          <w:lang w:val="en-US" w:eastAsia="zh-CN"/>
        </w:rPr>
        <w:t>采购需求</w:t>
      </w:r>
    </w:p>
    <w:p>
      <w:pPr>
        <w:pStyle w:val="19"/>
        <w:numPr>
          <w:ilvl w:val="0"/>
          <w:numId w:val="1"/>
        </w:numPr>
        <w:tabs>
          <w:tab w:val="right" w:pos="8844"/>
        </w:tabs>
        <w:rPr>
          <w:color w:val="auto"/>
          <w:highlight w:val="none"/>
        </w:rPr>
      </w:pPr>
      <w:r>
        <w:rPr>
          <w:rFonts w:hint="eastAsia"/>
          <w:color w:val="auto"/>
          <w:highlight w:val="none"/>
        </w:rPr>
        <w:t>合同草案</w:t>
      </w:r>
    </w:p>
    <w:p>
      <w:pPr>
        <w:pStyle w:val="19"/>
        <w:numPr>
          <w:ilvl w:val="0"/>
          <w:numId w:val="1"/>
        </w:numPr>
        <w:tabs>
          <w:tab w:val="right" w:pos="8844"/>
        </w:tabs>
        <w:rPr>
          <w:color w:val="auto"/>
          <w:highlight w:val="none"/>
        </w:rPr>
      </w:pPr>
      <w:r>
        <w:rPr>
          <w:rFonts w:hint="eastAsia"/>
          <w:color w:val="auto"/>
          <w:highlight w:val="none"/>
        </w:rPr>
        <w:t>响应文件格式要求</w:t>
      </w:r>
      <w:r>
        <w:rPr>
          <w:color w:val="auto"/>
          <w:highlight w:val="none"/>
        </w:rPr>
        <w:fldChar w:fldCharType="begin"/>
      </w:r>
      <w:r>
        <w:rPr>
          <w:color w:val="auto"/>
          <w:highlight w:val="none"/>
        </w:rPr>
        <w:instrText xml:space="preserve">TOC \o "1-1" \n  \h \u </w:instrText>
      </w:r>
      <w:r>
        <w:rPr>
          <w:color w:val="auto"/>
          <w:highlight w:val="none"/>
        </w:rPr>
        <w:fldChar w:fldCharType="separate"/>
      </w:r>
      <w:r>
        <w:rPr>
          <w:color w:val="auto"/>
          <w:highlight w:val="none"/>
        </w:rPr>
        <w:fldChar w:fldCharType="begin"/>
      </w:r>
      <w:r>
        <w:rPr>
          <w:color w:val="auto"/>
          <w:highlight w:val="none"/>
        </w:rPr>
        <w:instrText xml:space="preserve"> HYPERLINK \l _Toc18800 </w:instrText>
      </w:r>
      <w:r>
        <w:rPr>
          <w:color w:val="auto"/>
          <w:highlight w:val="none"/>
        </w:rPr>
        <w:fldChar w:fldCharType="separate"/>
      </w:r>
      <w:r>
        <w:rPr>
          <w:color w:val="auto"/>
          <w:highlight w:val="none"/>
        </w:rPr>
        <w:fldChar w:fldCharType="end"/>
      </w:r>
    </w:p>
    <w:p>
      <w:pPr>
        <w:pStyle w:val="19"/>
        <w:tabs>
          <w:tab w:val="right" w:pos="8844"/>
        </w:tabs>
        <w:rPr>
          <w:color w:val="auto"/>
          <w:highlight w:val="none"/>
        </w:rPr>
      </w:pPr>
      <w:r>
        <w:rPr>
          <w:color w:val="auto"/>
          <w:highlight w:val="none"/>
        </w:rPr>
        <w:fldChar w:fldCharType="begin"/>
      </w:r>
      <w:r>
        <w:rPr>
          <w:color w:val="auto"/>
          <w:highlight w:val="none"/>
        </w:rPr>
        <w:instrText xml:space="preserve"> HYPERLINK \l _Toc5817 </w:instrText>
      </w:r>
      <w:r>
        <w:rPr>
          <w:color w:val="auto"/>
          <w:highlight w:val="none"/>
        </w:rPr>
        <w:fldChar w:fldCharType="separate"/>
      </w:r>
      <w:r>
        <w:rPr>
          <w:color w:val="auto"/>
          <w:highlight w:val="none"/>
        </w:rPr>
        <w:fldChar w:fldCharType="end"/>
      </w:r>
    </w:p>
    <w:p>
      <w:pPr>
        <w:pStyle w:val="19"/>
        <w:tabs>
          <w:tab w:val="right" w:pos="8844"/>
        </w:tabs>
        <w:rPr>
          <w:color w:val="auto"/>
          <w:highlight w:val="none"/>
        </w:rPr>
      </w:pPr>
      <w:r>
        <w:rPr>
          <w:color w:val="auto"/>
          <w:highlight w:val="none"/>
        </w:rPr>
        <w:fldChar w:fldCharType="begin"/>
      </w:r>
      <w:r>
        <w:rPr>
          <w:color w:val="auto"/>
          <w:highlight w:val="none"/>
        </w:rPr>
        <w:instrText xml:space="preserve"> HYPERLINK \l _Toc27928 </w:instrText>
      </w:r>
      <w:r>
        <w:rPr>
          <w:color w:val="auto"/>
          <w:highlight w:val="none"/>
        </w:rPr>
        <w:fldChar w:fldCharType="separate"/>
      </w:r>
      <w:r>
        <w:rPr>
          <w:color w:val="auto"/>
          <w:highlight w:val="none"/>
        </w:rPr>
        <w:fldChar w:fldCharType="end"/>
      </w:r>
    </w:p>
    <w:p>
      <w:pPr>
        <w:pStyle w:val="22"/>
        <w:rPr>
          <w:color w:val="auto"/>
          <w:highlight w:val="none"/>
        </w:rPr>
      </w:pPr>
      <w:r>
        <w:rPr>
          <w:color w:val="auto"/>
          <w:highlight w:val="none"/>
        </w:rPr>
        <w:fldChar w:fldCharType="end"/>
      </w: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3"/>
        <w:rPr>
          <w:rFonts w:hint="eastAsia"/>
          <w:color w:val="auto"/>
          <w:highlight w:val="none"/>
        </w:rPr>
      </w:pPr>
      <w:bookmarkStart w:id="0" w:name="_Toc26148"/>
      <w:bookmarkStart w:id="1" w:name="_Toc18145"/>
    </w:p>
    <w:p>
      <w:pPr>
        <w:rPr>
          <w:rFonts w:hint="eastAsia"/>
          <w:color w:val="auto"/>
          <w:highlight w:val="none"/>
        </w:rPr>
      </w:pPr>
    </w:p>
    <w:p>
      <w:pPr>
        <w:pStyle w:val="3"/>
        <w:rPr>
          <w:rFonts w:hint="eastAsia"/>
          <w:color w:val="auto"/>
          <w:highlight w:val="none"/>
        </w:rPr>
      </w:pPr>
      <w:bookmarkStart w:id="2" w:name="_Toc17696"/>
      <w:bookmarkStart w:id="3" w:name="_Toc1711"/>
    </w:p>
    <w:p>
      <w:pPr>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3"/>
        <w:rPr>
          <w:rFonts w:hint="eastAsia"/>
          <w:color w:val="auto"/>
          <w:highlight w:val="none"/>
        </w:rPr>
      </w:pPr>
      <w:bookmarkStart w:id="4" w:name="_Toc4275"/>
      <w:bookmarkStart w:id="5" w:name="_Toc7519"/>
      <w:bookmarkStart w:id="6" w:name="_Toc1669"/>
      <w:bookmarkStart w:id="7" w:name="_Toc31938"/>
      <w:bookmarkStart w:id="8" w:name="_Toc19609"/>
      <w:bookmarkStart w:id="9" w:name="_Toc11322"/>
      <w:bookmarkStart w:id="10" w:name="_Toc17801"/>
    </w:p>
    <w:p>
      <w:pPr>
        <w:pStyle w:val="3"/>
        <w:rPr>
          <w:rFonts w:hint="eastAsia"/>
          <w:color w:val="auto"/>
          <w:highlight w:val="none"/>
        </w:rPr>
      </w:pPr>
    </w:p>
    <w:p>
      <w:pPr>
        <w:pStyle w:val="3"/>
        <w:rPr>
          <w:rFonts w:hint="eastAsia"/>
          <w:color w:val="auto"/>
          <w:highlight w:val="none"/>
        </w:rPr>
      </w:pPr>
    </w:p>
    <w:p>
      <w:pPr>
        <w:pStyle w:val="3"/>
        <w:rPr>
          <w:color w:val="auto"/>
          <w:highlight w:val="none"/>
        </w:rPr>
      </w:pPr>
      <w:r>
        <w:rPr>
          <w:color w:val="auto"/>
          <w:highlight w:val="none"/>
        </w:rPr>
        <w:pict>
          <v:shape id="_x0000_s2065" o:spid="_x0000_s2065" o:spt="32" type="#_x0000_t32" style="position:absolute;left:0pt;margin-left:184.3pt;margin-top:58.7pt;height:0pt;width:75.5pt;z-index:251673600;mso-width-relative:page;mso-height-relative:page;" o:connectortype="straight" filled="f" coordsize="21600,21600">
            <v:path arrowok="t"/>
            <v:fill on="f" focussize="0,0"/>
            <v:stroke/>
            <v:imagedata o:title=""/>
            <o:lock v:ext="edit"/>
          </v:shape>
        </w:pict>
      </w:r>
      <w:r>
        <w:rPr>
          <w:color w:val="auto"/>
          <w:highlight w:val="none"/>
        </w:rPr>
        <w:pict>
          <v:shape id="_x0000_s2064" o:spid="_x0000_s2064" o:spt="32" type="#_x0000_t32" style="position:absolute;left:0pt;margin-left:184.9pt;margin-top:8.5pt;height:0pt;width:75.5pt;z-index:251672576;mso-width-relative:page;mso-height-relative:page;" o:connectortype="straight" filled="f" coordsize="21600,21600">
            <v:path arrowok="t"/>
            <v:fill on="f" focussize="0,0"/>
            <v:stroke/>
            <v:imagedata o:title=""/>
            <o:lock v:ext="edit"/>
          </v:shape>
        </w:pict>
      </w:r>
      <w:r>
        <w:rPr>
          <w:rFonts w:hint="eastAsia"/>
          <w:color w:val="auto"/>
          <w:highlight w:val="none"/>
        </w:rPr>
        <w:t>第一章</w:t>
      </w:r>
      <w:bookmarkEnd w:id="0"/>
      <w:bookmarkEnd w:id="1"/>
      <w:bookmarkEnd w:id="2"/>
      <w:bookmarkEnd w:id="3"/>
      <w:bookmarkEnd w:id="4"/>
      <w:bookmarkEnd w:id="5"/>
      <w:bookmarkEnd w:id="6"/>
      <w:bookmarkEnd w:id="7"/>
      <w:bookmarkEnd w:id="8"/>
      <w:bookmarkEnd w:id="9"/>
      <w:bookmarkEnd w:id="10"/>
    </w:p>
    <w:p>
      <w:pPr>
        <w:pStyle w:val="36"/>
        <w:rPr>
          <w:color w:val="auto"/>
          <w:highlight w:val="none"/>
        </w:rPr>
      </w:pPr>
    </w:p>
    <w:p>
      <w:pPr>
        <w:pStyle w:val="3"/>
        <w:rPr>
          <w:rFonts w:hint="eastAsia" w:eastAsia="方正小标宋简体"/>
          <w:color w:val="auto"/>
          <w:highlight w:val="none"/>
          <w:lang w:eastAsia="zh-CN"/>
        </w:rPr>
      </w:pPr>
      <w:r>
        <w:rPr>
          <w:rFonts w:hint="eastAsia"/>
          <w:color w:val="auto"/>
          <w:highlight w:val="none"/>
          <w:lang w:eastAsia="zh-CN"/>
        </w:rPr>
        <w:t>采购公告（采购邀请书）</w:t>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2"/>
        <w:rPr>
          <w:rFonts w:ascii="方正小标宋简体" w:eastAsia="方正小标宋简体"/>
          <w:color w:val="auto"/>
          <w:sz w:val="44"/>
          <w:szCs w:val="44"/>
          <w:highlight w:val="none"/>
        </w:rPr>
      </w:pPr>
    </w:p>
    <w:p>
      <w:pPr>
        <w:pStyle w:val="22"/>
        <w:rPr>
          <w:rFonts w:ascii="方正小标宋简体" w:eastAsia="方正小标宋简体"/>
          <w:color w:val="auto"/>
          <w:sz w:val="44"/>
          <w:szCs w:val="44"/>
          <w:highlight w:val="none"/>
        </w:rPr>
      </w:pPr>
    </w:p>
    <w:p>
      <w:pPr>
        <w:pStyle w:val="22"/>
        <w:rPr>
          <w:rFonts w:ascii="方正小标宋简体" w:eastAsia="方正小标宋简体"/>
          <w:color w:val="auto"/>
          <w:sz w:val="44"/>
          <w:szCs w:val="44"/>
          <w:highlight w:val="none"/>
        </w:rPr>
      </w:pPr>
    </w:p>
    <w:p>
      <w:pPr>
        <w:pStyle w:val="22"/>
        <w:rPr>
          <w:rFonts w:ascii="方正小标宋简体" w:eastAsia="方正小标宋简体"/>
          <w:color w:val="auto"/>
          <w:sz w:val="44"/>
          <w:szCs w:val="44"/>
          <w:highlight w:val="none"/>
        </w:rPr>
      </w:pPr>
    </w:p>
    <w:p>
      <w:pPr>
        <w:pStyle w:val="22"/>
        <w:rPr>
          <w:rFonts w:ascii="仿宋_GB2312" w:eastAsia="仿宋_GB2312"/>
          <w:color w:val="auto"/>
          <w:sz w:val="28"/>
          <w:szCs w:val="28"/>
          <w:highlight w:val="none"/>
        </w:rPr>
      </w:pPr>
    </w:p>
    <w:p>
      <w:pPr>
        <w:adjustRightInd w:val="0"/>
        <w:snapToGrid w:val="0"/>
        <w:spacing w:beforeLines="50" w:afterLines="50" w:line="600" w:lineRule="exact"/>
        <w:jc w:val="left"/>
        <w:rPr>
          <w:color w:val="auto"/>
          <w:highlight w:val="none"/>
        </w:rPr>
      </w:pPr>
      <w:r>
        <w:rPr>
          <w:rFonts w:hint="eastAsia" w:asciiTheme="minorEastAsia" w:hAnsiTheme="minorEastAsia"/>
          <w:color w:val="auto"/>
          <w:sz w:val="24"/>
          <w:szCs w:val="24"/>
          <w:highlight w:val="none"/>
        </w:rPr>
        <w:t>适用于纸质评审的公开采购方式</w:t>
      </w:r>
    </w:p>
    <w:p>
      <w:pPr>
        <w:pStyle w:val="3"/>
        <w:rPr>
          <w:rFonts w:hint="eastAsia" w:eastAsia="方正小标宋简体"/>
          <w:color w:val="auto"/>
          <w:highlight w:val="none"/>
          <w:lang w:eastAsia="zh-CN"/>
        </w:rPr>
      </w:pPr>
      <w:bookmarkStart w:id="11" w:name="_Toc9680"/>
      <w:bookmarkStart w:id="12" w:name="_Toc21373"/>
      <w:r>
        <w:rPr>
          <w:rFonts w:hint="eastAsia"/>
          <w:color w:val="auto"/>
          <w:highlight w:val="none"/>
          <w:lang w:eastAsia="zh-CN"/>
        </w:rPr>
        <w:t>采购公告（采购邀请书）</w:t>
      </w:r>
    </w:p>
    <w:bookmarkEnd w:id="11"/>
    <w:bookmarkEnd w:id="12"/>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 xml:space="preserve">  </w:t>
      </w:r>
      <w:r>
        <w:rPr>
          <w:rFonts w:hint="eastAsia" w:ascii="仿宋_GB2312" w:eastAsia="仿宋_GB2312"/>
          <w:color w:val="auto"/>
          <w:sz w:val="28"/>
          <w:szCs w:val="28"/>
          <w:highlight w:val="none"/>
          <w:u w:val="single"/>
        </w:rPr>
        <w:t xml:space="preserve">   从化公司2024年太平厂硫酸铝加药间改造项目 </w:t>
      </w:r>
      <w:r>
        <w:rPr>
          <w:rFonts w:hint="eastAsia" w:ascii="仿宋_GB2312" w:eastAsia="仿宋_GB2312"/>
          <w:color w:val="auto"/>
          <w:sz w:val="28"/>
          <w:szCs w:val="28"/>
          <w:highlight w:val="none"/>
        </w:rPr>
        <w:t>已具备采购条件，</w:t>
      </w:r>
      <w:r>
        <w:rPr>
          <w:rFonts w:hint="eastAsia" w:ascii="仿宋_GB2312" w:eastAsia="仿宋_GB2312"/>
          <w:sz w:val="28"/>
          <w:szCs w:val="28"/>
          <w:highlight w:val="none"/>
        </w:rPr>
        <w:t>现</w:t>
      </w:r>
      <w:r>
        <w:rPr>
          <w:rFonts w:hint="eastAsia" w:ascii="仿宋_GB2312" w:eastAsia="仿宋_GB2312"/>
          <w:sz w:val="28"/>
          <w:szCs w:val="28"/>
          <w:highlight w:val="none"/>
          <w:lang w:val="en-US" w:eastAsia="zh-CN"/>
        </w:rPr>
        <w:t>邀请合格</w:t>
      </w:r>
      <w:r>
        <w:rPr>
          <w:rFonts w:hint="eastAsia" w:ascii="仿宋_GB2312" w:eastAsia="仿宋_GB2312"/>
          <w:sz w:val="28"/>
          <w:szCs w:val="28"/>
          <w:highlight w:val="none"/>
          <w:u w:val="none"/>
          <w:lang w:val="en-US" w:eastAsia="zh-CN"/>
        </w:rPr>
        <w:t>单位</w:t>
      </w:r>
      <w:r>
        <w:rPr>
          <w:rFonts w:hint="eastAsia" w:ascii="仿宋_GB2312" w:eastAsia="仿宋_GB2312"/>
          <w:sz w:val="28"/>
          <w:szCs w:val="28"/>
          <w:highlight w:val="none"/>
        </w:rPr>
        <w:t>参加本</w:t>
      </w:r>
      <w:r>
        <w:rPr>
          <w:rFonts w:hint="eastAsia" w:ascii="仿宋_GB2312" w:eastAsia="仿宋_GB2312"/>
          <w:sz w:val="28"/>
          <w:szCs w:val="28"/>
          <w:highlight w:val="none"/>
          <w:lang w:eastAsia="zh-CN"/>
        </w:rPr>
        <w:t>☑</w:t>
      </w:r>
      <w:r>
        <w:rPr>
          <w:rFonts w:hint="eastAsia" w:ascii="仿宋_GB2312" w:eastAsia="仿宋_GB2312"/>
          <w:sz w:val="28"/>
          <w:szCs w:val="28"/>
          <w:highlight w:val="none"/>
        </w:rPr>
        <w:t>施工  □货物 □服务项目采购活动，采用</w:t>
      </w:r>
      <w:r>
        <w:rPr>
          <w:rFonts w:hint="eastAsia" w:ascii="仿宋_GB2312" w:eastAsia="仿宋_GB2312"/>
          <w:sz w:val="28"/>
          <w:szCs w:val="28"/>
          <w:highlight w:val="none"/>
          <w:u w:val="single"/>
        </w:rPr>
        <w:sym w:font="Wingdings 2" w:char="00A3"/>
      </w:r>
      <w:r>
        <w:rPr>
          <w:rFonts w:hint="eastAsia" w:ascii="仿宋_GB2312" w:eastAsia="仿宋_GB2312"/>
          <w:sz w:val="28"/>
          <w:szCs w:val="28"/>
          <w:highlight w:val="none"/>
          <w:u w:val="single"/>
          <w:lang w:val="en-US" w:eastAsia="zh-CN"/>
        </w:rPr>
        <w:t>邀请</w:t>
      </w:r>
      <w:r>
        <w:rPr>
          <w:rFonts w:hint="eastAsia" w:ascii="仿宋_GB2312" w:eastAsia="仿宋_GB2312"/>
          <w:sz w:val="28"/>
          <w:szCs w:val="28"/>
          <w:highlight w:val="none"/>
          <w:u w:val="single"/>
        </w:rPr>
        <w:t>询比</w:t>
      </w:r>
      <w:r>
        <w:rPr>
          <w:rFonts w:hint="eastAsia" w:ascii="仿宋_GB2312" w:eastAsia="仿宋_GB2312"/>
          <w:sz w:val="28"/>
          <w:szCs w:val="28"/>
          <w:highlight w:val="none"/>
          <w:u w:val="single"/>
          <w:lang w:val="en-US" w:eastAsia="zh-CN"/>
        </w:rPr>
        <w:t xml:space="preserve"> </w:t>
      </w:r>
      <w:r>
        <w:rPr>
          <w:rFonts w:hint="eastAsia" w:ascii="仿宋_GB2312" w:eastAsia="仿宋_GB2312"/>
          <w:sz w:val="28"/>
          <w:szCs w:val="28"/>
          <w:highlight w:val="none"/>
          <w:u w:val="single"/>
          <w:lang w:val="en-US" w:eastAsia="zh-CN"/>
        </w:rPr>
        <w:sym w:font="Wingdings 2" w:char="0052"/>
      </w:r>
      <w:r>
        <w:rPr>
          <w:rFonts w:hint="eastAsia" w:ascii="仿宋_GB2312" w:eastAsia="仿宋_GB2312"/>
          <w:sz w:val="28"/>
          <w:szCs w:val="28"/>
          <w:highlight w:val="none"/>
          <w:u w:val="single"/>
          <w:lang w:val="en-US" w:eastAsia="zh-CN"/>
        </w:rPr>
        <w:t>公开询比</w:t>
      </w:r>
      <w:r>
        <w:rPr>
          <w:rFonts w:hint="eastAsia" w:ascii="仿宋_GB2312" w:eastAsia="仿宋_GB2312"/>
          <w:sz w:val="28"/>
          <w:szCs w:val="28"/>
          <w:highlight w:val="none"/>
        </w:rPr>
        <w:t>的方式邀请合格供应商参加本项目采购活动。</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1.采购项目简介</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1.1采购项目名称：</w:t>
      </w:r>
      <w:r>
        <w:rPr>
          <w:rFonts w:hint="eastAsia" w:ascii="仿宋_GB2312" w:eastAsia="仿宋_GB2312"/>
          <w:color w:val="auto"/>
          <w:sz w:val="28"/>
          <w:szCs w:val="28"/>
          <w:highlight w:val="none"/>
          <w:u w:val="single"/>
        </w:rPr>
        <w:t xml:space="preserve">从化公司2024年太平厂硫酸铝加药间改造项目                             </w:t>
      </w:r>
      <w:r>
        <w:rPr>
          <w:rFonts w:hint="eastAsia" w:ascii="仿宋_GB2312" w:eastAsia="仿宋_GB2312"/>
          <w:color w:val="auto"/>
          <w:sz w:val="28"/>
          <w:szCs w:val="28"/>
          <w:highlight w:val="none"/>
        </w:rPr>
        <w:t xml:space="preserve">  </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1.2项目编号：</w:t>
      </w:r>
      <w:r>
        <w:rPr>
          <w:rFonts w:hint="eastAsia" w:ascii="仿宋_GB2312" w:eastAsia="仿宋_GB2312"/>
          <w:color w:val="auto"/>
          <w:sz w:val="28"/>
          <w:szCs w:val="28"/>
          <w:highlight w:val="none"/>
          <w:u w:val="single"/>
          <w:lang w:val="en-US" w:eastAsia="zh-CN"/>
        </w:rPr>
        <w:t>穗从化净水询[2024]012401号</w:t>
      </w:r>
      <w:r>
        <w:rPr>
          <w:rFonts w:hint="eastAsia" w:ascii="仿宋_GB2312" w:eastAsia="仿宋_GB2312"/>
          <w:color w:val="auto"/>
          <w:sz w:val="28"/>
          <w:szCs w:val="28"/>
          <w:highlight w:val="none"/>
          <w:u w:val="single"/>
        </w:rPr>
        <w:t xml:space="preserve">                                                  </w:t>
      </w:r>
    </w:p>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资金来源：</w:t>
      </w:r>
      <w:r>
        <w:rPr>
          <w:rFonts w:hint="eastAsia" w:ascii="仿宋_GB2312" w:eastAsia="仿宋_GB2312"/>
          <w:color w:val="auto"/>
          <w:sz w:val="28"/>
          <w:szCs w:val="28"/>
          <w:highlight w:val="none"/>
          <w:u w:val="single"/>
          <w:lang w:val="en-US" w:eastAsia="zh-CN"/>
        </w:rPr>
        <w:t xml:space="preserve">自有资金 </w:t>
      </w:r>
      <w:r>
        <w:rPr>
          <w:rFonts w:hint="eastAsia" w:ascii="仿宋_GB2312" w:eastAsia="仿宋_GB2312"/>
          <w:color w:val="auto"/>
          <w:sz w:val="28"/>
          <w:szCs w:val="28"/>
          <w:highlight w:val="none"/>
          <w:u w:val="single"/>
        </w:rPr>
        <w:t xml:space="preserve"> </w:t>
      </w:r>
    </w:p>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最高限价</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元</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u w:val="single"/>
          <w:lang w:val="en-US" w:eastAsia="zh-CN"/>
        </w:rPr>
        <w:t>135957.35</w:t>
      </w:r>
      <w:r>
        <w:rPr>
          <w:rFonts w:hint="eastAsia" w:ascii="仿宋_GB2312" w:eastAsia="仿宋_GB2312"/>
          <w:color w:val="auto"/>
          <w:sz w:val="28"/>
          <w:szCs w:val="28"/>
          <w:highlight w:val="none"/>
          <w:u w:val="single"/>
          <w:lang w:val="zh-CN"/>
        </w:rPr>
        <w:t>（</w:t>
      </w:r>
      <w:r>
        <w:rPr>
          <w:rFonts w:hint="eastAsia" w:ascii="仿宋_GB2312" w:eastAsia="仿宋_GB2312"/>
          <w:color w:val="auto"/>
          <w:sz w:val="28"/>
          <w:szCs w:val="28"/>
          <w:highlight w:val="none"/>
          <w:u w:val="single"/>
        </w:rPr>
        <w:t>税前造价</w:t>
      </w:r>
      <w:r>
        <w:rPr>
          <w:rFonts w:hint="eastAsia" w:ascii="仿宋_GB2312" w:eastAsia="仿宋_GB2312"/>
          <w:color w:val="auto"/>
          <w:sz w:val="28"/>
          <w:szCs w:val="28"/>
          <w:highlight w:val="none"/>
          <w:u w:val="single"/>
          <w:lang w:val="en-US" w:eastAsia="zh-CN"/>
        </w:rPr>
        <w:t>限价</w:t>
      </w:r>
      <w:r>
        <w:rPr>
          <w:rFonts w:hint="eastAsia" w:ascii="仿宋_GB2312" w:eastAsia="仿宋_GB2312"/>
          <w:color w:val="auto"/>
          <w:sz w:val="28"/>
          <w:szCs w:val="28"/>
          <w:highlight w:val="none"/>
          <w:u w:val="single"/>
        </w:rPr>
        <w:t>为</w:t>
      </w:r>
      <w:r>
        <w:rPr>
          <w:rFonts w:hint="eastAsia" w:ascii="仿宋_GB2312" w:eastAsia="仿宋_GB2312"/>
          <w:color w:val="auto"/>
          <w:sz w:val="28"/>
          <w:szCs w:val="28"/>
          <w:highlight w:val="none"/>
          <w:u w:val="single"/>
          <w:lang w:val="en-US" w:eastAsia="zh-CN"/>
        </w:rPr>
        <w:t>124731.51</w:t>
      </w:r>
      <w:r>
        <w:rPr>
          <w:rFonts w:hint="eastAsia" w:ascii="仿宋_GB2312" w:eastAsia="仿宋_GB2312"/>
          <w:color w:val="auto"/>
          <w:sz w:val="28"/>
          <w:szCs w:val="28"/>
          <w:highlight w:val="none"/>
          <w:u w:val="single"/>
        </w:rPr>
        <w:t>元，税率</w:t>
      </w:r>
      <w:r>
        <w:rPr>
          <w:rFonts w:hint="eastAsia" w:ascii="仿宋_GB2312" w:eastAsia="仿宋_GB2312"/>
          <w:color w:val="auto"/>
          <w:sz w:val="28"/>
          <w:szCs w:val="28"/>
          <w:highlight w:val="none"/>
          <w:u w:val="single"/>
          <w:lang w:val="en-US" w:eastAsia="zh-CN"/>
        </w:rPr>
        <w:t xml:space="preserve">9 </w:t>
      </w:r>
      <w:r>
        <w:rPr>
          <w:rFonts w:hint="eastAsia" w:ascii="仿宋_GB2312" w:eastAsia="仿宋_GB2312"/>
          <w:color w:val="auto"/>
          <w:sz w:val="28"/>
          <w:szCs w:val="28"/>
          <w:highlight w:val="none"/>
          <w:u w:val="single"/>
        </w:rPr>
        <w:t>%，其中绿色施工安全防护措施费为</w:t>
      </w:r>
      <w:r>
        <w:rPr>
          <w:rFonts w:hint="eastAsia" w:ascii="仿宋_GB2312" w:eastAsia="仿宋_GB2312"/>
          <w:color w:val="auto"/>
          <w:sz w:val="28"/>
          <w:szCs w:val="28"/>
          <w:highlight w:val="none"/>
          <w:u w:val="single"/>
          <w:lang w:val="en-US" w:eastAsia="zh-CN"/>
        </w:rPr>
        <w:t>5541.26元）。</w:t>
      </w:r>
      <w:r>
        <w:rPr>
          <w:rFonts w:hint="eastAsia" w:ascii="仿宋_GB2312" w:eastAsia="仿宋_GB2312"/>
          <w:color w:val="auto"/>
          <w:sz w:val="28"/>
          <w:szCs w:val="28"/>
          <w:highlight w:val="none"/>
          <w:u w:val="single"/>
        </w:rPr>
        <w:t>绿色施工安全防护措施费</w:t>
      </w:r>
      <w:r>
        <w:rPr>
          <w:rFonts w:hint="eastAsia" w:ascii="仿宋_GB2312" w:eastAsia="仿宋_GB2312"/>
          <w:color w:val="auto"/>
          <w:sz w:val="28"/>
          <w:szCs w:val="28"/>
          <w:highlight w:val="none"/>
          <w:u w:val="single"/>
          <w:lang w:val="en-US" w:eastAsia="zh-CN"/>
        </w:rPr>
        <w:t>及暂列金</w:t>
      </w:r>
      <w:r>
        <w:rPr>
          <w:rFonts w:hint="eastAsia" w:ascii="仿宋_GB2312" w:eastAsia="仿宋_GB2312"/>
          <w:color w:val="auto"/>
          <w:sz w:val="28"/>
          <w:szCs w:val="28"/>
          <w:highlight w:val="none"/>
          <w:u w:val="single"/>
        </w:rPr>
        <w:t>为非竞争性费用，报价时须按</w:t>
      </w:r>
      <w:r>
        <w:rPr>
          <w:rFonts w:hint="eastAsia" w:ascii="仿宋_GB2312" w:eastAsia="仿宋_GB2312"/>
          <w:color w:val="auto"/>
          <w:sz w:val="28"/>
          <w:szCs w:val="28"/>
          <w:highlight w:val="none"/>
          <w:u w:val="single"/>
          <w:lang w:val="en-US" w:eastAsia="zh-CN"/>
        </w:rPr>
        <w:t>采购</w:t>
      </w:r>
      <w:r>
        <w:rPr>
          <w:rFonts w:hint="eastAsia" w:ascii="仿宋_GB2312" w:eastAsia="仿宋_GB2312"/>
          <w:color w:val="auto"/>
          <w:sz w:val="28"/>
          <w:szCs w:val="28"/>
          <w:highlight w:val="none"/>
          <w:u w:val="single"/>
        </w:rPr>
        <w:t xml:space="preserve">文件规定的金额填写，不得参与竞争，否则按无效报价处理。                                                  </w:t>
      </w: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标段划分：</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w:t>
      </w:r>
      <w:r>
        <w:rPr>
          <w:rFonts w:hint="eastAsia" w:ascii="仿宋_GB2312" w:eastAsia="仿宋_GB2312"/>
          <w:color w:val="auto"/>
          <w:sz w:val="28"/>
          <w:szCs w:val="28"/>
          <w:highlight w:val="none"/>
          <w:u w:val="single"/>
        </w:rPr>
        <w:t xml:space="preserve">                                                  </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2.采购内容和范围</w:t>
      </w:r>
    </w:p>
    <w:p>
      <w:pPr>
        <w:adjustRightInd w:val="0"/>
        <w:snapToGrid w:val="0"/>
        <w:spacing w:line="600" w:lineRule="exact"/>
        <w:jc w:val="left"/>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rPr>
        <w:t>2.1采购内容和范围：</w:t>
      </w:r>
      <w:r>
        <w:rPr>
          <w:rFonts w:hint="eastAsia" w:ascii="仿宋_GB2312" w:eastAsia="仿宋_GB2312"/>
          <w:color w:val="auto"/>
          <w:sz w:val="28"/>
          <w:szCs w:val="28"/>
          <w:highlight w:val="none"/>
          <w:u w:val="single"/>
          <w:lang w:val="en-US" w:eastAsia="zh-CN"/>
        </w:rPr>
        <w:t>对广州从化净水有限公司下辖的太平镇污水处理厂硫酸铝加药间进行改造。具体实施内容为：1.增加2个硫酸铝加药罐（6吨），增加后硫酸铝合计30吨存量，满足动态15天以上使用储存量。2.增加一个6吨储药罐用于存放碳源（乙酸钠），并配备加药泵及送药管道。</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2.2项目工期：</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计划工期   □交货期  □服务期为</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15天</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 xml:space="preserve"> </w:t>
      </w:r>
    </w:p>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2.3地点：</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建设地点  □交货地点  □服务地点位于</w:t>
      </w:r>
      <w:r>
        <w:rPr>
          <w:rFonts w:hint="eastAsia" w:ascii="仿宋_GB2312" w:eastAsia="仿宋_GB2312"/>
          <w:color w:val="auto"/>
          <w:sz w:val="28"/>
          <w:szCs w:val="28"/>
          <w:highlight w:val="none"/>
          <w:u w:val="single"/>
          <w:lang w:val="en-US" w:eastAsia="zh-CN"/>
        </w:rPr>
        <w:t>广州从化净水有限公司太平镇污水处理厂</w:t>
      </w:r>
      <w:r>
        <w:rPr>
          <w:rFonts w:hint="eastAsia" w:ascii="仿宋_GB2312" w:eastAsia="仿宋_GB2312"/>
          <w:color w:val="auto"/>
          <w:sz w:val="28"/>
          <w:szCs w:val="28"/>
          <w:highlight w:val="none"/>
          <w:u w:val="single"/>
        </w:rPr>
        <w:t xml:space="preserve">   </w:t>
      </w:r>
    </w:p>
    <w:p>
      <w:pPr>
        <w:adjustRightInd w:val="0"/>
        <w:snapToGrid w:val="0"/>
        <w:spacing w:line="600" w:lineRule="exact"/>
        <w:ind w:left="420" w:right="-370" w:rightChars="-176" w:hanging="420" w:hangingChars="150"/>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2.4质量要求：</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 xml:space="preserve">施工质量要求   </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货物质量标准或主要技术性能指标  □服务质量要求或服务标准如下：</w:t>
      </w:r>
      <w:r>
        <w:rPr>
          <w:rFonts w:hint="eastAsia" w:ascii="仿宋_GB2312" w:eastAsia="仿宋_GB2312"/>
          <w:sz w:val="28"/>
          <w:szCs w:val="28"/>
          <w:highlight w:val="none"/>
          <w:u w:val="single"/>
        </w:rPr>
        <w:t>按合同条款和有关技术标准规范进行验收。使用的各种材料必须符合设计和</w:t>
      </w:r>
      <w:r>
        <w:rPr>
          <w:rFonts w:hint="eastAsia" w:ascii="仿宋_GB2312" w:eastAsia="仿宋_GB2312"/>
          <w:sz w:val="28"/>
          <w:szCs w:val="28"/>
          <w:highlight w:val="none"/>
          <w:u w:val="single"/>
          <w:lang w:val="en-US" w:eastAsia="zh-CN"/>
        </w:rPr>
        <w:t>有关技术标准</w:t>
      </w:r>
      <w:r>
        <w:rPr>
          <w:rFonts w:hint="eastAsia" w:ascii="仿宋_GB2312" w:eastAsia="仿宋_GB2312"/>
          <w:sz w:val="28"/>
          <w:szCs w:val="28"/>
          <w:highlight w:val="none"/>
          <w:u w:val="single"/>
        </w:rPr>
        <w:t>规范要求</w:t>
      </w:r>
      <w:r>
        <w:rPr>
          <w:rFonts w:hint="eastAsia" w:ascii="仿宋_GB2312" w:eastAsia="仿宋_GB2312"/>
          <w:sz w:val="28"/>
          <w:szCs w:val="28"/>
          <w:highlight w:val="none"/>
          <w:u w:val="single"/>
          <w:lang w:eastAsia="zh-CN"/>
        </w:rPr>
        <w:t>（</w:t>
      </w:r>
      <w:r>
        <w:rPr>
          <w:rFonts w:hint="eastAsia" w:ascii="仿宋_GB2312" w:eastAsia="仿宋_GB2312"/>
          <w:sz w:val="28"/>
          <w:szCs w:val="28"/>
          <w:highlight w:val="none"/>
          <w:u w:val="single"/>
          <w:lang w:val="en-US" w:eastAsia="zh-CN"/>
        </w:rPr>
        <w:t>详见第五章采购需求</w:t>
      </w:r>
      <w:r>
        <w:rPr>
          <w:rFonts w:hint="eastAsia" w:ascii="仿宋_GB2312" w:eastAsia="仿宋_GB2312"/>
          <w:sz w:val="28"/>
          <w:szCs w:val="28"/>
          <w:highlight w:val="none"/>
          <w:u w:val="single"/>
          <w:lang w:eastAsia="zh-CN"/>
        </w:rPr>
        <w:t>）</w:t>
      </w:r>
      <w:r>
        <w:rPr>
          <w:rFonts w:hint="eastAsia" w:ascii="仿宋_GB2312" w:eastAsia="仿宋_GB2312"/>
          <w:sz w:val="28"/>
          <w:szCs w:val="28"/>
          <w:highlight w:val="none"/>
          <w:u w:val="single"/>
        </w:rPr>
        <w:t>。</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 xml:space="preserve">  </w:t>
      </w:r>
    </w:p>
    <w:p>
      <w:pPr>
        <w:adjustRightInd w:val="0"/>
        <w:snapToGrid w:val="0"/>
        <w:spacing w:line="600" w:lineRule="exact"/>
        <w:ind w:left="420" w:right="-370" w:rightChars="-176" w:hanging="420" w:hangingChars="150"/>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2.5其他：</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安全目标如下：</w:t>
      </w:r>
      <w:r>
        <w:rPr>
          <w:rFonts w:hint="eastAsia" w:ascii="仿宋_GB2312" w:eastAsia="仿宋_GB2312"/>
          <w:color w:val="auto"/>
          <w:sz w:val="28"/>
          <w:szCs w:val="28"/>
          <w:highlight w:val="none"/>
          <w:u w:val="single"/>
        </w:rPr>
        <w:t xml:space="preserve">严格遵守净水公司的安全管理规定和要求。                                        </w:t>
      </w:r>
      <w:r>
        <w:rPr>
          <w:rFonts w:hint="eastAsia" w:ascii="仿宋_GB2312" w:eastAsia="仿宋_GB2312"/>
          <w:color w:val="auto"/>
          <w:sz w:val="28"/>
          <w:szCs w:val="28"/>
          <w:highlight w:val="none"/>
        </w:rPr>
        <w:t xml:space="preserve"> </w:t>
      </w:r>
    </w:p>
    <w:p>
      <w:pPr>
        <w:adjustRightInd w:val="0"/>
        <w:snapToGrid w:val="0"/>
        <w:spacing w:line="600" w:lineRule="exact"/>
        <w:jc w:val="left"/>
        <w:rPr>
          <w:rFonts w:hint="eastAsia" w:asciiTheme="minorEastAsia" w:hAnsiTheme="minorEastAsia" w:eastAsiaTheme="minorEastAsia"/>
          <w:b/>
          <w:color w:val="auto"/>
          <w:sz w:val="32"/>
          <w:szCs w:val="32"/>
          <w:highlight w:val="none"/>
          <w:lang w:eastAsia="zh-CN"/>
        </w:rPr>
      </w:pPr>
      <w:r>
        <w:rPr>
          <w:rFonts w:hint="eastAsia" w:asciiTheme="minorEastAsia" w:hAnsiTheme="minorEastAsia"/>
          <w:b/>
          <w:color w:val="auto"/>
          <w:sz w:val="32"/>
          <w:szCs w:val="32"/>
          <w:highlight w:val="none"/>
        </w:rPr>
        <w:t>3.供应商资格要求</w:t>
      </w:r>
      <w:r>
        <w:rPr>
          <w:rFonts w:hint="eastAsia" w:asciiTheme="minorEastAsia" w:hAnsiTheme="minorEastAsia"/>
          <w:b/>
          <w:color w:val="auto"/>
          <w:sz w:val="32"/>
          <w:szCs w:val="32"/>
          <w:highlight w:val="none"/>
          <w:lang w:eastAsia="zh-CN"/>
        </w:rPr>
        <w:t>（</w:t>
      </w:r>
      <w:r>
        <w:rPr>
          <w:rFonts w:hint="eastAsia" w:asciiTheme="minorEastAsia" w:hAnsiTheme="minorEastAsia"/>
          <w:b/>
          <w:color w:val="auto"/>
          <w:sz w:val="32"/>
          <w:szCs w:val="32"/>
          <w:highlight w:val="none"/>
          <w:lang w:val="en-US" w:eastAsia="zh-CN"/>
        </w:rPr>
        <w:t>须提供复印件并加盖单位公章</w:t>
      </w:r>
      <w:r>
        <w:rPr>
          <w:rFonts w:hint="eastAsia" w:asciiTheme="minorEastAsia" w:hAnsiTheme="minorEastAsia"/>
          <w:b/>
          <w:color w:val="auto"/>
          <w:sz w:val="32"/>
          <w:szCs w:val="32"/>
          <w:highlight w:val="none"/>
          <w:lang w:eastAsia="zh-CN"/>
        </w:rPr>
        <w:t>）</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3.1参与本项目采购活动的供应商应当依法设立且满足如下要求：</w:t>
      </w:r>
    </w:p>
    <w:p>
      <w:pPr>
        <w:adjustRightInd w:val="0"/>
        <w:snapToGrid w:val="0"/>
        <w:spacing w:line="600" w:lineRule="exact"/>
        <w:jc w:val="left"/>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1</w:t>
      </w:r>
      <w:r>
        <w:rPr>
          <w:rFonts w:hint="eastAsia" w:ascii="仿宋_GB2312" w:eastAsia="仿宋_GB2312"/>
          <w:color w:val="auto"/>
          <w:sz w:val="28"/>
          <w:szCs w:val="28"/>
          <w:highlight w:val="none"/>
          <w:lang w:eastAsia="zh-CN"/>
        </w:rPr>
        <w:t>）报价单位须是在中华人民共和国境内注册的法人或其他组织，具有独立法人资格，持有事业单位登记管理部门核发的事业单位法人证书或工商行政管理部门核发的企业法人营业执照，且在有效期内。</w:t>
      </w:r>
    </w:p>
    <w:p>
      <w:pPr>
        <w:adjustRightInd w:val="0"/>
        <w:snapToGrid w:val="0"/>
        <w:spacing w:line="600" w:lineRule="exact"/>
        <w:jc w:val="left"/>
        <w:rPr>
          <w:rFonts w:hint="eastAsia" w:ascii="仿宋_GB2312" w:eastAsia="仿宋_GB2312"/>
          <w:color w:val="auto"/>
          <w:sz w:val="28"/>
          <w:szCs w:val="28"/>
          <w:highlight w:val="none"/>
          <w:u w:val="single"/>
          <w:lang w:eastAsia="zh-CN"/>
        </w:rPr>
      </w:pP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2</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供应商应当具备</w:t>
      </w:r>
      <w:r>
        <w:rPr>
          <w:rFonts w:hint="eastAsia" w:ascii="仿宋_GB2312" w:eastAsia="仿宋_GB2312"/>
          <w:color w:val="auto"/>
          <w:sz w:val="28"/>
          <w:szCs w:val="28"/>
          <w:highlight w:val="none"/>
          <w:u w:val="single"/>
          <w:lang w:val="en-US" w:eastAsia="zh-CN"/>
        </w:rPr>
        <w:t>市政</w:t>
      </w:r>
      <w:r>
        <w:rPr>
          <w:rFonts w:hint="eastAsia" w:ascii="仿宋_GB2312" w:eastAsia="仿宋_GB2312"/>
          <w:color w:val="auto"/>
          <w:sz w:val="28"/>
          <w:szCs w:val="28"/>
          <w:highlight w:val="none"/>
          <w:u w:val="single"/>
          <w:lang w:eastAsia="zh-CN"/>
        </w:rPr>
        <w:t>工程施工总承包</w:t>
      </w:r>
      <w:r>
        <w:rPr>
          <w:rFonts w:hint="eastAsia" w:ascii="仿宋_GB2312" w:eastAsia="仿宋_GB2312"/>
          <w:color w:val="auto"/>
          <w:sz w:val="28"/>
          <w:szCs w:val="28"/>
          <w:highlight w:val="none"/>
          <w:u w:val="single"/>
          <w:lang w:val="en-US" w:eastAsia="zh-CN"/>
        </w:rPr>
        <w:t>三</w:t>
      </w:r>
      <w:r>
        <w:rPr>
          <w:rFonts w:hint="eastAsia" w:ascii="仿宋_GB2312" w:eastAsia="仿宋_GB2312"/>
          <w:color w:val="auto"/>
          <w:sz w:val="28"/>
          <w:szCs w:val="28"/>
          <w:highlight w:val="none"/>
          <w:u w:val="single"/>
          <w:lang w:eastAsia="zh-CN"/>
        </w:rPr>
        <w:t>级（或以上）资质，</w:t>
      </w:r>
    </w:p>
    <w:p>
      <w:pPr>
        <w:adjustRightInd w:val="0"/>
        <w:snapToGrid w:val="0"/>
        <w:spacing w:line="600" w:lineRule="exact"/>
        <w:jc w:val="left"/>
        <w:rPr>
          <w:rFonts w:hint="eastAsia" w:ascii="仿宋_GB2312" w:eastAsia="仿宋_GB2312"/>
          <w:color w:val="auto"/>
          <w:sz w:val="28"/>
          <w:szCs w:val="28"/>
          <w:highlight w:val="none"/>
          <w:u w:val="single"/>
          <w:lang w:eastAsia="zh-CN"/>
        </w:rPr>
      </w:pPr>
      <w:r>
        <w:rPr>
          <w:rFonts w:hint="eastAsia" w:ascii="仿宋_GB2312" w:eastAsia="仿宋_GB2312"/>
          <w:color w:val="auto"/>
          <w:sz w:val="28"/>
          <w:szCs w:val="28"/>
          <w:highlight w:val="none"/>
          <w:u w:val="single"/>
          <w:lang w:eastAsia="zh-CN"/>
        </w:rPr>
        <w:t>同时具有建设主管部门颁发且在有效期内的《安全生产许可证》</w:t>
      </w:r>
      <w:r>
        <w:rPr>
          <w:rFonts w:hint="eastAsia" w:ascii="仿宋_GB2312" w:eastAsia="仿宋_GB2312"/>
          <w:color w:val="auto"/>
          <w:sz w:val="28"/>
          <w:szCs w:val="28"/>
          <w:highlight w:val="none"/>
          <w:u w:val="single"/>
          <w:lang w:val="en-US" w:eastAsia="zh-CN"/>
        </w:rPr>
        <w:t>资质，</w:t>
      </w:r>
    </w:p>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u w:val="single"/>
          <w:lang w:eastAsia="zh-CN"/>
        </w:rPr>
        <w:t>且能开具增值税专用发票。</w:t>
      </w:r>
    </w:p>
    <w:p>
      <w:pPr>
        <w:adjustRightInd w:val="0"/>
        <w:snapToGrid w:val="0"/>
        <w:spacing w:line="600" w:lineRule="exact"/>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u w:val="single"/>
          <w:lang w:val="en-US" w:eastAsia="zh-CN"/>
        </w:rPr>
        <w:t xml:space="preserve"> 2021</w:t>
      </w:r>
      <w:r>
        <w:rPr>
          <w:rFonts w:hint="eastAsia" w:ascii="仿宋_GB2312" w:eastAsia="仿宋_GB2312"/>
          <w:color w:val="auto"/>
          <w:sz w:val="28"/>
          <w:szCs w:val="28"/>
          <w:highlight w:val="none"/>
          <w:lang w:val="en-US" w:eastAsia="zh-CN"/>
        </w:rPr>
        <w:t>年1月1日至今，</w:t>
      </w:r>
      <w:r>
        <w:rPr>
          <w:rFonts w:hint="eastAsia" w:ascii="仿宋_GB2312" w:eastAsia="仿宋_GB2312"/>
          <w:color w:val="auto"/>
          <w:sz w:val="28"/>
          <w:szCs w:val="28"/>
          <w:highlight w:val="none"/>
        </w:rPr>
        <w:t>供应商</w:t>
      </w:r>
      <w:r>
        <w:rPr>
          <w:rFonts w:hint="eastAsia" w:ascii="仿宋_GB2312" w:eastAsia="仿宋_GB2312"/>
          <w:color w:val="auto"/>
          <w:sz w:val="28"/>
          <w:szCs w:val="28"/>
          <w:highlight w:val="none"/>
          <w:lang w:val="en-US" w:eastAsia="zh-CN"/>
        </w:rPr>
        <w:t>最少</w:t>
      </w:r>
      <w:r>
        <w:rPr>
          <w:rFonts w:hint="eastAsia" w:ascii="仿宋_GB2312" w:eastAsia="仿宋_GB2312"/>
          <w:color w:val="auto"/>
          <w:sz w:val="28"/>
          <w:szCs w:val="28"/>
          <w:highlight w:val="none"/>
        </w:rPr>
        <w:t>具有</w:t>
      </w:r>
      <w:r>
        <w:rPr>
          <w:rFonts w:hint="eastAsia" w:ascii="仿宋_GB2312" w:eastAsia="仿宋_GB2312"/>
          <w:color w:val="auto"/>
          <w:sz w:val="28"/>
          <w:szCs w:val="28"/>
          <w:highlight w:val="none"/>
          <w:lang w:val="en-US" w:eastAsia="zh-CN"/>
        </w:rPr>
        <w:t>一项</w:t>
      </w:r>
      <w:r>
        <w:rPr>
          <w:rFonts w:hint="eastAsia" w:ascii="仿宋_GB2312" w:eastAsia="仿宋_GB2312"/>
          <w:color w:val="auto"/>
          <w:sz w:val="28"/>
          <w:szCs w:val="28"/>
          <w:highlight w:val="none"/>
          <w:u w:val="single"/>
          <w:lang w:val="en-US" w:eastAsia="zh-CN"/>
        </w:rPr>
        <w:t xml:space="preserve"> 污水处理厂加药系统改造 </w:t>
      </w:r>
      <w:r>
        <w:rPr>
          <w:rFonts w:hint="eastAsia" w:ascii="仿宋_GB2312" w:eastAsia="仿宋_GB2312"/>
          <w:color w:val="auto"/>
          <w:sz w:val="28"/>
          <w:szCs w:val="28"/>
          <w:highlight w:val="none"/>
        </w:rPr>
        <w:t>项目的业绩。（提供合同复印件证明，包括但不限于项目名称、金额及实施内容、合同盖章、签订日期，加盖单位公章）</w:t>
      </w:r>
    </w:p>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）项目负责人应当具备</w:t>
      </w:r>
      <w:r>
        <w:rPr>
          <w:rFonts w:hint="eastAsia" w:ascii="仿宋_GB2312" w:eastAsia="仿宋_GB2312"/>
          <w:color w:val="auto"/>
          <w:sz w:val="28"/>
          <w:szCs w:val="28"/>
          <w:highlight w:val="none"/>
          <w:u w:val="single"/>
          <w:lang w:val="en-US" w:eastAsia="zh-CN"/>
        </w:rPr>
        <w:t>市政</w:t>
      </w:r>
      <w:r>
        <w:rPr>
          <w:rFonts w:hint="eastAsia" w:ascii="仿宋_GB2312" w:eastAsia="仿宋_GB2312"/>
          <w:color w:val="auto"/>
          <w:sz w:val="28"/>
          <w:szCs w:val="28"/>
          <w:highlight w:val="none"/>
          <w:u w:val="single"/>
        </w:rPr>
        <w:t>工程专业二级（或以上级别）的注册建造师（或具备符合粤建市〔2010〕26号文规定的小型项目负责人资格），同时持有项目负责人安全生产考核合格证（B类）（或能够提供广东省建筑施工企业管理人员安全生产考核信息系统安全生产管理人员证书信息的网页截图）</w:t>
      </w:r>
      <w:r>
        <w:rPr>
          <w:rFonts w:hint="eastAsia" w:ascii="仿宋_GB2312" w:eastAsia="仿宋_GB2312"/>
          <w:color w:val="auto"/>
          <w:sz w:val="28"/>
          <w:szCs w:val="28"/>
          <w:highlight w:val="none"/>
        </w:rPr>
        <w:t>资格条件。（注：根据广东省建设信息中心关于启用新版“广东省建设执业资格注册管理信息系统”的通知，注册建造师电子证书须由本人在个人签名处手写签名，未手写签名或与签名图像笔迹不一致的，电子证书无效。广东省外注册的二级建造师人员暂不能在我省执业）。</w:t>
      </w:r>
    </w:p>
    <w:p>
      <w:pPr>
        <w:pStyle w:val="47"/>
        <w:keepNext w:val="0"/>
        <w:keepLines w:val="0"/>
        <w:pageBreakBefore w:val="0"/>
        <w:widowControl w:val="0"/>
        <w:kinsoku/>
        <w:wordWrap/>
        <w:overflowPunct/>
        <w:topLinePunct w:val="0"/>
        <w:autoSpaceDE w:val="0"/>
        <w:autoSpaceDN w:val="0"/>
        <w:bidi w:val="0"/>
        <w:spacing w:line="600" w:lineRule="exact"/>
        <w:ind w:firstLine="0" w:firstLineChars="0"/>
        <w:jc w:val="left"/>
        <w:rPr>
          <w:rFonts w:hint="eastAsia" w:ascii="仿宋_GB2312" w:eastAsia="仿宋_GB2312" w:hAnsiTheme="minorHAnsi" w:cstheme="minorBidi"/>
          <w:color w:val="auto"/>
          <w:kern w:val="2"/>
          <w:sz w:val="28"/>
          <w:szCs w:val="28"/>
          <w:highlight w:val="none"/>
          <w:u w:val="single"/>
          <w:lang w:val="en-US" w:eastAsia="zh-CN" w:bidi="ar-SA"/>
        </w:rPr>
      </w:pP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）其他要求：</w:t>
      </w:r>
      <w:r>
        <w:rPr>
          <w:rFonts w:hint="eastAsia" w:ascii="仿宋_GB2312" w:eastAsia="仿宋_GB2312" w:hAnsiTheme="minorHAnsi" w:cstheme="minorBidi"/>
          <w:color w:val="auto"/>
          <w:kern w:val="2"/>
          <w:sz w:val="28"/>
          <w:szCs w:val="28"/>
          <w:highlight w:val="none"/>
          <w:u w:val="single"/>
          <w:lang w:val="en-US" w:eastAsia="zh-CN" w:bidi="ar-SA"/>
        </w:rPr>
        <w:t>专职安全人员要求：须具有安全生产考核合格证（C类）（或能够提供广东省建筑施工企业管理人员安全生产考核信息系统安全生产管理人员证书信息的网页截图）。项目负责人与专职安全员不得为同一人。</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3.2供应商在响应文件提交截止日期止不得存在下列情形之一</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须出具不得存在情形承诺函</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（1）与本项目其他供应商的单位负责人为同一人。</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（2）与本项目其他供应商存在控股或管理关系。</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（3）被本项目所在地省级以上行业主管部门依法暂停、取消投标或禁止参加采购活动且处于有效期内的。</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（4）处于被责令停产停业、暂扣或者吊销执照、暂扣或者吊销许可证、吊销资质证书状态。</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（5）进入清算程序，或被宣告破产，或其他丧失履约能力情形的。</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（6）近三年内因发生质量或安全生产事故等受到行政处罚且在处罚期内的。</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（7）被最高人民法院在“信用中国”网站（www.creditchina.gov.cn）或各级信用信息共享平台中列入失信被执行人名单。</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（8）被“全国企业信用信息公示系统”（网址：http://www.gsxt.gov.cn/）</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列入经营异常名录和严重违法企业名单。</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（9）被“信用广州”网站纳入失信被执行人名单（失信黑名单）。</w:t>
      </w:r>
    </w:p>
    <w:p>
      <w:pPr>
        <w:adjustRightInd w:val="0"/>
        <w:snapToGrid w:val="0"/>
        <w:spacing w:line="600" w:lineRule="exact"/>
        <w:ind w:firstLine="420" w:firstLineChars="150"/>
        <w:rPr>
          <w:rFonts w:ascii="仿宋_GB2312" w:eastAsia="仿宋_GB2312"/>
          <w:color w:val="auto"/>
          <w:sz w:val="28"/>
          <w:szCs w:val="28"/>
          <w:highlight w:val="non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0</w:t>
      </w:r>
      <w:r>
        <w:rPr>
          <w:rFonts w:hint="eastAsia" w:ascii="仿宋_GB2312" w:eastAsia="仿宋_GB2312"/>
          <w:color w:val="auto"/>
          <w:sz w:val="28"/>
          <w:szCs w:val="28"/>
          <w:highlight w:val="none"/>
        </w:rPr>
        <w:t>）其他违法违纪行为，经审查认为不宜被邀请参加采购活动的。</w:t>
      </w:r>
    </w:p>
    <w:p>
      <w:pPr>
        <w:adjustRightInd w:val="0"/>
        <w:snapToGrid w:val="0"/>
        <w:spacing w:line="600" w:lineRule="exact"/>
        <w:ind w:firstLine="420" w:firstLineChars="150"/>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1</w:t>
      </w:r>
      <w:r>
        <w:rPr>
          <w:rFonts w:hint="eastAsia" w:ascii="仿宋_GB2312" w:eastAsia="仿宋_GB2312"/>
          <w:color w:val="auto"/>
          <w:sz w:val="28"/>
          <w:szCs w:val="28"/>
          <w:highlight w:val="none"/>
        </w:rPr>
        <w:t>）其他禁止情形：</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w:t>
      </w:r>
      <w:r>
        <w:rPr>
          <w:rFonts w:hint="eastAsia" w:ascii="仿宋_GB2312" w:eastAsia="仿宋_GB2312"/>
          <w:color w:val="auto"/>
          <w:sz w:val="28"/>
          <w:szCs w:val="28"/>
          <w:highlight w:val="none"/>
          <w:u w:val="single"/>
        </w:rPr>
        <w:t xml:space="preserve">                                   </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3.3本次项目</w:t>
      </w:r>
      <w:r>
        <w:rPr>
          <w:rFonts w:hint="eastAsia" w:ascii="仿宋_GB2312" w:eastAsia="仿宋_GB2312"/>
          <w:color w:val="auto"/>
          <w:sz w:val="28"/>
          <w:szCs w:val="28"/>
          <w:highlight w:val="none"/>
          <w:u w:val="single"/>
        </w:rPr>
        <w:t>不接受</w:t>
      </w:r>
      <w:r>
        <w:rPr>
          <w:rFonts w:hint="eastAsia" w:ascii="仿宋_GB2312" w:eastAsia="仿宋_GB2312"/>
          <w:color w:val="auto"/>
          <w:sz w:val="28"/>
          <w:szCs w:val="28"/>
          <w:highlight w:val="none"/>
        </w:rPr>
        <w:t>联合体参加采购活动</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4.采购文件的获取</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4.1获取时间</w:t>
      </w:r>
    </w:p>
    <w:p>
      <w:pPr>
        <w:adjustRightInd w:val="0"/>
        <w:snapToGrid w:val="0"/>
        <w:spacing w:line="60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从</w:t>
      </w:r>
      <w:r>
        <w:rPr>
          <w:rFonts w:hint="eastAsia" w:ascii="仿宋_GB2312" w:eastAsia="仿宋_GB2312"/>
          <w:color w:val="auto"/>
          <w:sz w:val="28"/>
          <w:szCs w:val="28"/>
          <w:highlight w:val="none"/>
          <w:u w:val="single"/>
          <w:lang w:val="en-US" w:eastAsia="zh-CN"/>
        </w:rPr>
        <w:t>2024</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lang w:val="en-US" w:eastAsia="zh-CN"/>
        </w:rPr>
        <w:t>4</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lang w:val="en-US" w:eastAsia="zh-CN"/>
        </w:rPr>
        <w:t>12</w:t>
      </w:r>
      <w:r>
        <w:rPr>
          <w:rFonts w:hint="eastAsia" w:ascii="仿宋_GB2312" w:eastAsia="仿宋_GB2312"/>
          <w:color w:val="auto"/>
          <w:sz w:val="28"/>
          <w:szCs w:val="28"/>
          <w:highlight w:val="none"/>
        </w:rPr>
        <w:t>日至</w:t>
      </w:r>
      <w:r>
        <w:rPr>
          <w:rFonts w:hint="eastAsia" w:ascii="仿宋_GB2312" w:eastAsia="仿宋_GB2312"/>
          <w:color w:val="auto"/>
          <w:sz w:val="28"/>
          <w:szCs w:val="28"/>
          <w:highlight w:val="none"/>
          <w:u w:val="single"/>
          <w:lang w:val="en-US" w:eastAsia="zh-CN"/>
        </w:rPr>
        <w:t>2024</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lang w:val="en-US" w:eastAsia="zh-CN"/>
        </w:rPr>
        <w:t>4</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lang w:val="en-US" w:eastAsia="zh-CN"/>
        </w:rPr>
        <w:t>17</w:t>
      </w:r>
      <w:r>
        <w:rPr>
          <w:rFonts w:hint="eastAsia" w:ascii="仿宋_GB2312" w:eastAsia="仿宋_GB2312"/>
          <w:color w:val="auto"/>
          <w:sz w:val="28"/>
          <w:szCs w:val="28"/>
          <w:highlight w:val="none"/>
        </w:rPr>
        <w:t>日（北京时间）</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4.2获取方式</w:t>
      </w:r>
      <w:bookmarkStart w:id="168" w:name="_GoBack"/>
      <w:bookmarkEnd w:id="168"/>
    </w:p>
    <w:p>
      <w:pPr>
        <w:adjustRightInd w:val="0"/>
        <w:snapToGrid w:val="0"/>
        <w:spacing w:line="600" w:lineRule="exact"/>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在</w:t>
      </w:r>
      <w:r>
        <w:rPr>
          <w:rFonts w:hint="eastAsia" w:ascii="仿宋_GB2312" w:eastAsia="仿宋_GB2312"/>
          <w:color w:val="auto"/>
          <w:sz w:val="28"/>
          <w:szCs w:val="28"/>
          <w:highlight w:val="none"/>
          <w:u w:val="single"/>
          <w:lang w:val="en-US" w:eastAsia="zh-CN"/>
        </w:rPr>
        <w:t>广州市净水有限公司门户网站</w:t>
      </w:r>
      <w:r>
        <w:rPr>
          <w:rFonts w:hint="eastAsia" w:ascii="仿宋_GB2312" w:eastAsia="仿宋_GB2312"/>
          <w:color w:val="auto"/>
          <w:sz w:val="28"/>
          <w:szCs w:val="28"/>
          <w:highlight w:val="none"/>
        </w:rPr>
        <w:t xml:space="preserve">下载采购文件。 </w:t>
      </w:r>
    </w:p>
    <w:p>
      <w:pPr>
        <w:numPr>
          <w:ilvl w:val="0"/>
          <w:numId w:val="2"/>
        </w:numPr>
        <w:adjustRightInd w:val="0"/>
        <w:snapToGrid w:val="0"/>
        <w:spacing w:line="600" w:lineRule="exact"/>
        <w:jc w:val="left"/>
        <w:rPr>
          <w:rFonts w:hint="eastAsia" w:asciiTheme="minorEastAsia" w:hAnsiTheme="minorEastAsia" w:eastAsiaTheme="minorEastAsia"/>
          <w:b/>
          <w:color w:val="auto"/>
          <w:sz w:val="32"/>
          <w:szCs w:val="32"/>
          <w:highlight w:val="none"/>
          <w:lang w:val="en-US" w:eastAsia="zh-CN"/>
        </w:rPr>
      </w:pPr>
      <w:r>
        <w:rPr>
          <w:rFonts w:hint="eastAsia" w:asciiTheme="minorEastAsia" w:hAnsiTheme="minorEastAsia" w:eastAsiaTheme="minorEastAsia"/>
          <w:b/>
          <w:color w:val="auto"/>
          <w:sz w:val="32"/>
          <w:szCs w:val="32"/>
          <w:highlight w:val="none"/>
          <w:lang w:val="en-US" w:eastAsia="zh-CN"/>
        </w:rPr>
        <w:t>踏勘现场</w:t>
      </w:r>
    </w:p>
    <w:p>
      <w:pPr>
        <w:adjustRightInd w:val="0"/>
        <w:snapToGrid w:val="0"/>
        <w:spacing w:line="600" w:lineRule="exact"/>
        <w:rPr>
          <w:rFonts w:hint="eastAsia" w:ascii="仿宋_GB2312" w:eastAsia="仿宋_GB2312"/>
          <w:color w:val="auto"/>
          <w:sz w:val="28"/>
          <w:szCs w:val="28"/>
          <w:highlight w:val="none"/>
        </w:rPr>
      </w:pPr>
      <w:r>
        <w:rPr>
          <w:rFonts w:hint="eastAsia" w:ascii="仿宋_GB2312" w:eastAsia="仿宋_GB2312" w:hAnsiTheme="minorHAnsi"/>
          <w:color w:val="auto"/>
          <w:sz w:val="28"/>
          <w:szCs w:val="28"/>
          <w:highlight w:val="none"/>
        </w:rPr>
        <w:sym w:font="Wingdings 2" w:char="00A3"/>
      </w:r>
      <w:r>
        <w:rPr>
          <w:rFonts w:hint="eastAsia" w:ascii="仿宋_GB2312" w:eastAsia="仿宋_GB2312"/>
          <w:color w:val="auto"/>
          <w:sz w:val="28"/>
          <w:szCs w:val="28"/>
          <w:highlight w:val="none"/>
        </w:rPr>
        <w:t>不组织</w:t>
      </w:r>
    </w:p>
    <w:p>
      <w:pPr>
        <w:adjustRightInd w:val="0"/>
        <w:snapToGrid w:val="0"/>
        <w:spacing w:line="360" w:lineRule="auto"/>
        <w:rPr>
          <w:rFonts w:hint="eastAsia" w:ascii="仿宋_GB2312" w:hAnsi="仿宋" w:eastAsia="仿宋_GB2312" w:cs="仿宋_GB2312"/>
          <w:color w:val="000000" w:themeColor="text1"/>
          <w:sz w:val="28"/>
          <w:szCs w:val="28"/>
          <w:highlight w:val="none"/>
          <w:lang w:val="zh-CN"/>
        </w:rPr>
      </w:pPr>
      <w:r>
        <w:rPr>
          <w:rFonts w:hint="eastAsia" w:ascii="仿宋_GB2312" w:eastAsia="仿宋_GB2312" w:hAnsiTheme="minorHAnsi"/>
          <w:color w:val="auto"/>
          <w:sz w:val="28"/>
          <w:szCs w:val="28"/>
          <w:highlight w:val="none"/>
        </w:rPr>
        <w:sym w:font="Wingdings 2" w:char="0052"/>
      </w:r>
      <w:r>
        <w:rPr>
          <w:rFonts w:hint="eastAsia" w:ascii="仿宋_GB2312" w:eastAsia="仿宋_GB2312" w:hAnsiTheme="minorHAnsi"/>
          <w:color w:val="auto"/>
          <w:sz w:val="28"/>
          <w:szCs w:val="28"/>
          <w:highlight w:val="none"/>
        </w:rPr>
        <w:t>组织</w:t>
      </w:r>
      <w:r>
        <w:rPr>
          <w:rFonts w:hint="eastAsia" w:ascii="仿宋_GB2312" w:eastAsia="仿宋_GB2312"/>
          <w:color w:val="auto"/>
          <w:sz w:val="28"/>
          <w:szCs w:val="28"/>
          <w:highlight w:val="none"/>
          <w:lang w:eastAsia="zh-CN"/>
        </w:rPr>
        <w:t>：</w:t>
      </w:r>
      <w:r>
        <w:rPr>
          <w:rFonts w:hint="eastAsia" w:ascii="仿宋_GB2312" w:hAnsi="仿宋" w:eastAsia="仿宋_GB2312" w:cs="仿宋_GB2312"/>
          <w:color w:val="000000" w:themeColor="text1"/>
          <w:sz w:val="28"/>
          <w:szCs w:val="28"/>
          <w:highlight w:val="none"/>
          <w:lang w:val="en-US" w:eastAsia="zh-CN"/>
        </w:rPr>
        <w:t>供应商可</w:t>
      </w:r>
      <w:r>
        <w:rPr>
          <w:rFonts w:hint="eastAsia" w:ascii="仿宋_GB2312" w:hAnsi="仿宋" w:eastAsia="仿宋_GB2312" w:cs="仿宋_GB2312"/>
          <w:color w:val="000000" w:themeColor="text1"/>
          <w:sz w:val="28"/>
          <w:szCs w:val="28"/>
          <w:highlight w:val="none"/>
          <w:lang w:val="zh-CN"/>
        </w:rPr>
        <w:t>自行</w:t>
      </w:r>
      <w:r>
        <w:rPr>
          <w:rFonts w:hint="eastAsia" w:ascii="仿宋_GB2312" w:hAnsi="仿宋" w:eastAsia="仿宋_GB2312" w:cs="仿宋_GB2312"/>
          <w:color w:val="000000" w:themeColor="text1"/>
          <w:sz w:val="28"/>
          <w:szCs w:val="28"/>
          <w:highlight w:val="none"/>
          <w:lang w:val="en-US" w:eastAsia="zh-CN"/>
        </w:rPr>
        <w:t>选择是否前往现场踏勘</w:t>
      </w:r>
      <w:r>
        <w:rPr>
          <w:rFonts w:hint="eastAsia" w:ascii="仿宋_GB2312" w:hAnsi="仿宋" w:eastAsia="仿宋_GB2312" w:cs="仿宋_GB2312"/>
          <w:color w:val="000000" w:themeColor="text1"/>
          <w:sz w:val="28"/>
          <w:szCs w:val="28"/>
          <w:highlight w:val="none"/>
          <w:lang w:val="zh-CN"/>
        </w:rPr>
        <w:t>，</w:t>
      </w:r>
      <w:r>
        <w:rPr>
          <w:rFonts w:hint="eastAsia" w:ascii="仿宋_GB2312" w:hAnsi="仿宋" w:eastAsia="仿宋_GB2312" w:cs="仿宋_GB2312"/>
          <w:color w:val="000000" w:themeColor="text1"/>
          <w:sz w:val="28"/>
          <w:szCs w:val="28"/>
          <w:highlight w:val="none"/>
          <w:lang w:val="en-US" w:eastAsia="zh-CN"/>
        </w:rPr>
        <w:t>若前往现场踏勘须在规定时间内到达集中地点，逾期不再接待</w:t>
      </w:r>
      <w:r>
        <w:rPr>
          <w:rFonts w:hint="eastAsia" w:ascii="仿宋_GB2312" w:hAnsi="仿宋" w:eastAsia="仿宋_GB2312" w:cs="仿宋_GB2312"/>
          <w:color w:val="000000" w:themeColor="text1"/>
          <w:sz w:val="28"/>
          <w:szCs w:val="28"/>
          <w:highlight w:val="none"/>
          <w:lang w:val="zh-CN"/>
        </w:rPr>
        <w:t>。</w:t>
      </w:r>
    </w:p>
    <w:p>
      <w:pPr>
        <w:pStyle w:val="22"/>
        <w:spacing w:line="360" w:lineRule="auto"/>
        <w:ind w:firstLine="0"/>
        <w:rPr>
          <w:rFonts w:hint="default" w:ascii="仿宋_GB2312" w:eastAsia="仿宋_GB2312" w:hAnsiTheme="minorHAnsi" w:cstheme="minorBidi"/>
          <w:color w:val="auto"/>
          <w:kern w:val="2"/>
          <w:sz w:val="28"/>
          <w:szCs w:val="28"/>
          <w:highlight w:val="none"/>
          <w:lang w:val="en-US" w:eastAsia="zh-CN"/>
        </w:rPr>
      </w:pPr>
      <w:r>
        <w:rPr>
          <w:rFonts w:hint="eastAsia" w:ascii="仿宋_GB2312" w:eastAsia="仿宋_GB2312" w:hAnsiTheme="minorHAnsi" w:cstheme="minorBidi"/>
          <w:color w:val="auto"/>
          <w:kern w:val="2"/>
          <w:sz w:val="28"/>
          <w:szCs w:val="28"/>
          <w:highlight w:val="none"/>
          <w:lang w:val="en-US" w:eastAsia="zh-CN"/>
        </w:rPr>
        <w:t>踏勘现场联系人：汤工</w:t>
      </w:r>
    </w:p>
    <w:p>
      <w:pPr>
        <w:pStyle w:val="22"/>
        <w:adjustRightInd w:val="0"/>
        <w:snapToGrid w:val="0"/>
        <w:spacing w:line="360" w:lineRule="auto"/>
        <w:ind w:firstLine="0" w:firstLineChars="0"/>
        <w:rPr>
          <w:rFonts w:hint="eastAsia" w:ascii="仿宋_GB2312" w:eastAsia="仿宋_GB2312" w:hAnsiTheme="minorHAnsi"/>
          <w:color w:val="auto"/>
          <w:sz w:val="28"/>
          <w:szCs w:val="28"/>
          <w:highlight w:val="none"/>
          <w:u w:val="none"/>
        </w:rPr>
      </w:pPr>
      <w:r>
        <w:rPr>
          <w:rFonts w:hint="eastAsia" w:ascii="仿宋_GB2312" w:eastAsia="仿宋_GB2312" w:hAnsiTheme="minorHAnsi" w:cstheme="minorBidi"/>
          <w:color w:val="auto"/>
          <w:kern w:val="2"/>
          <w:sz w:val="28"/>
          <w:szCs w:val="28"/>
          <w:highlight w:val="none"/>
          <w:lang w:val="en-US" w:eastAsia="zh-CN"/>
        </w:rPr>
        <w:t>踏勘现场联系人联系方式：</w:t>
      </w:r>
      <w:r>
        <w:rPr>
          <w:rFonts w:hint="eastAsia" w:ascii="仿宋_GB2312" w:hAnsi="宋体" w:eastAsia="仿宋_GB2312"/>
          <w:bCs/>
          <w:sz w:val="28"/>
          <w:szCs w:val="28"/>
          <w:lang w:val="en-US" w:eastAsia="zh-CN"/>
        </w:rPr>
        <w:t>13922144478</w:t>
      </w:r>
    </w:p>
    <w:p>
      <w:pPr>
        <w:adjustRightInd w:val="0"/>
        <w:snapToGrid w:val="0"/>
        <w:spacing w:line="360" w:lineRule="auto"/>
        <w:ind w:firstLine="0"/>
        <w:rPr>
          <w:rFonts w:hint="eastAsia" w:ascii="仿宋_GB2312" w:eastAsia="仿宋_GB2312" w:hAnsiTheme="minorHAnsi"/>
          <w:color w:val="auto"/>
          <w:sz w:val="28"/>
          <w:szCs w:val="28"/>
          <w:highlight w:val="none"/>
        </w:rPr>
      </w:pPr>
      <w:r>
        <w:rPr>
          <w:rFonts w:hint="eastAsia" w:ascii="仿宋_GB2312" w:eastAsia="仿宋_GB2312" w:hAnsiTheme="minorHAnsi"/>
          <w:color w:val="auto"/>
          <w:sz w:val="28"/>
          <w:szCs w:val="28"/>
          <w:highlight w:val="none"/>
        </w:rPr>
        <w:t>踏勘（答疑）</w:t>
      </w:r>
      <w:r>
        <w:rPr>
          <w:rFonts w:hint="eastAsia" w:ascii="仿宋_GB2312" w:eastAsia="仿宋_GB2312"/>
          <w:color w:val="auto"/>
          <w:sz w:val="28"/>
          <w:szCs w:val="28"/>
          <w:highlight w:val="none"/>
          <w:lang w:val="en-US" w:eastAsia="zh-CN"/>
        </w:rPr>
        <w:t>集合</w:t>
      </w:r>
      <w:r>
        <w:rPr>
          <w:rFonts w:hint="eastAsia" w:ascii="仿宋_GB2312" w:eastAsia="仿宋_GB2312" w:hAnsiTheme="minorHAnsi"/>
          <w:color w:val="auto"/>
          <w:sz w:val="28"/>
          <w:szCs w:val="28"/>
          <w:highlight w:val="none"/>
        </w:rPr>
        <w:t>时间：</w:t>
      </w:r>
      <w:r>
        <w:rPr>
          <w:rFonts w:hint="eastAsia" w:ascii="仿宋_GB2312" w:eastAsia="仿宋_GB2312"/>
          <w:color w:val="auto"/>
          <w:sz w:val="28"/>
          <w:szCs w:val="28"/>
          <w:highlight w:val="none"/>
          <w:u w:val="single"/>
          <w:lang w:val="en-US" w:eastAsia="zh-CN"/>
        </w:rPr>
        <w:t>2024</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lang w:val="en-US" w:eastAsia="zh-CN"/>
        </w:rPr>
        <w:t>4</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15</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日</w:t>
      </w:r>
      <w:r>
        <w:rPr>
          <w:rFonts w:hint="eastAsia" w:ascii="仿宋_GB2312" w:eastAsia="仿宋_GB2312"/>
          <w:color w:val="auto"/>
          <w:sz w:val="28"/>
          <w:szCs w:val="28"/>
          <w:highlight w:val="none"/>
          <w:u w:val="single"/>
          <w:lang w:val="en-US" w:eastAsia="zh-CN"/>
        </w:rPr>
        <w:t>9</w:t>
      </w:r>
      <w:r>
        <w:rPr>
          <w:rFonts w:hint="eastAsia" w:ascii="仿宋_GB2312" w:eastAsia="仿宋_GB2312"/>
          <w:color w:val="auto"/>
          <w:sz w:val="28"/>
          <w:szCs w:val="28"/>
          <w:highlight w:val="none"/>
        </w:rPr>
        <w:t>时</w:t>
      </w:r>
      <w:r>
        <w:rPr>
          <w:rFonts w:hint="eastAsia" w:ascii="仿宋_GB2312" w:eastAsia="仿宋_GB2312"/>
          <w:color w:val="auto"/>
          <w:sz w:val="28"/>
          <w:szCs w:val="28"/>
          <w:highlight w:val="none"/>
          <w:u w:val="single"/>
          <w:lang w:val="en-US" w:eastAsia="zh-CN"/>
        </w:rPr>
        <w:t>00</w:t>
      </w:r>
      <w:r>
        <w:rPr>
          <w:rFonts w:hint="eastAsia" w:ascii="仿宋_GB2312" w:eastAsia="仿宋_GB2312"/>
          <w:color w:val="auto"/>
          <w:sz w:val="28"/>
          <w:szCs w:val="28"/>
          <w:highlight w:val="none"/>
        </w:rPr>
        <w:t>分</w:t>
      </w:r>
      <w:r>
        <w:rPr>
          <w:rFonts w:hint="eastAsia" w:ascii="仿宋_GB2312" w:eastAsia="仿宋_GB2312"/>
          <w:color w:val="auto"/>
          <w:sz w:val="28"/>
          <w:szCs w:val="28"/>
          <w:highlight w:val="none"/>
          <w:lang w:val="en-US" w:eastAsia="zh-CN"/>
        </w:rPr>
        <w:t>-</w:t>
      </w:r>
      <w:r>
        <w:rPr>
          <w:rFonts w:hint="eastAsia" w:ascii="仿宋_GB2312" w:eastAsia="仿宋_GB2312"/>
          <w:color w:val="auto"/>
          <w:sz w:val="28"/>
          <w:szCs w:val="28"/>
          <w:highlight w:val="none"/>
          <w:u w:val="single"/>
          <w:lang w:val="en-US" w:eastAsia="zh-CN"/>
        </w:rPr>
        <w:t>12</w:t>
      </w:r>
      <w:r>
        <w:rPr>
          <w:rFonts w:hint="eastAsia" w:ascii="仿宋_GB2312" w:eastAsia="仿宋_GB2312"/>
          <w:color w:val="auto"/>
          <w:sz w:val="28"/>
          <w:szCs w:val="28"/>
          <w:highlight w:val="none"/>
        </w:rPr>
        <w:t>时</w:t>
      </w:r>
      <w:r>
        <w:rPr>
          <w:rFonts w:hint="eastAsia" w:ascii="仿宋_GB2312" w:eastAsia="仿宋_GB2312"/>
          <w:color w:val="auto"/>
          <w:sz w:val="28"/>
          <w:szCs w:val="28"/>
          <w:highlight w:val="none"/>
          <w:u w:val="single"/>
          <w:lang w:val="en-US" w:eastAsia="zh-CN"/>
        </w:rPr>
        <w:t>00</w:t>
      </w:r>
      <w:r>
        <w:rPr>
          <w:rFonts w:hint="eastAsia" w:ascii="仿宋_GB2312" w:eastAsia="仿宋_GB2312"/>
          <w:color w:val="auto"/>
          <w:sz w:val="28"/>
          <w:szCs w:val="28"/>
          <w:highlight w:val="none"/>
        </w:rPr>
        <w:t>分</w:t>
      </w:r>
      <w:r>
        <w:rPr>
          <w:rFonts w:hint="eastAsia" w:ascii="仿宋_GB2312" w:eastAsia="仿宋_GB2312"/>
          <w:color w:val="auto"/>
          <w:sz w:val="28"/>
          <w:szCs w:val="28"/>
          <w:highlight w:val="none"/>
          <w:lang w:eastAsia="zh-CN"/>
        </w:rPr>
        <w:t>。</w:t>
      </w:r>
      <w:r>
        <w:rPr>
          <w:rFonts w:hint="eastAsia" w:ascii="仿宋_GB2312" w:eastAsia="仿宋_GB2312" w:hAnsiTheme="minorHAnsi"/>
          <w:color w:val="auto"/>
          <w:sz w:val="28"/>
          <w:szCs w:val="28"/>
          <w:highlight w:val="none"/>
          <w:u w:val="none"/>
        </w:rPr>
        <w:t xml:space="preserve">                  </w:t>
      </w:r>
      <w:r>
        <w:rPr>
          <w:rFonts w:hint="eastAsia" w:ascii="仿宋_GB2312" w:eastAsia="仿宋_GB2312" w:hAnsiTheme="minorHAnsi"/>
          <w:color w:val="auto"/>
          <w:sz w:val="28"/>
          <w:szCs w:val="28"/>
          <w:highlight w:val="none"/>
        </w:rPr>
        <w:t xml:space="preserve">   </w:t>
      </w:r>
    </w:p>
    <w:p>
      <w:pPr>
        <w:adjustRightInd w:val="0"/>
        <w:snapToGrid w:val="0"/>
        <w:spacing w:line="600" w:lineRule="exact"/>
        <w:jc w:val="left"/>
        <w:rPr>
          <w:rFonts w:hint="eastAsia" w:asciiTheme="minorEastAsia" w:hAnsiTheme="minorEastAsia" w:eastAsiaTheme="minorEastAsia"/>
          <w:b/>
          <w:color w:val="auto"/>
          <w:sz w:val="32"/>
          <w:szCs w:val="32"/>
          <w:highlight w:val="none"/>
          <w:lang w:val="en-US" w:eastAsia="zh-CN"/>
        </w:rPr>
      </w:pPr>
      <w:r>
        <w:rPr>
          <w:rFonts w:hint="eastAsia" w:ascii="仿宋_GB2312" w:eastAsia="仿宋_GB2312" w:hAnsiTheme="minorHAnsi"/>
          <w:color w:val="auto"/>
          <w:sz w:val="28"/>
          <w:szCs w:val="28"/>
          <w:highlight w:val="none"/>
        </w:rPr>
        <w:t>踏勘集中地点：</w:t>
      </w:r>
      <w:r>
        <w:rPr>
          <w:rFonts w:hint="eastAsia" w:ascii="仿宋_GB2312" w:eastAsia="仿宋_GB2312"/>
          <w:color w:val="auto"/>
          <w:sz w:val="28"/>
          <w:szCs w:val="28"/>
          <w:highlight w:val="none"/>
          <w:u w:val="none"/>
          <w:lang w:val="en-US" w:eastAsia="zh-CN"/>
        </w:rPr>
        <w:t>广州市从化区从荔路50号广州从化净水有限公司</w:t>
      </w:r>
      <w:r>
        <w:rPr>
          <w:rFonts w:hint="eastAsia" w:ascii="仿宋_GB2312" w:eastAsia="仿宋_GB2312" w:hAnsiTheme="minorHAnsi"/>
          <w:color w:val="auto"/>
          <w:sz w:val="28"/>
          <w:szCs w:val="28"/>
          <w:highlight w:val="none"/>
          <w:u w:val="none"/>
        </w:rPr>
        <w:t xml:space="preserve">                </w:t>
      </w:r>
      <w:r>
        <w:rPr>
          <w:rFonts w:hint="eastAsia" w:ascii="仿宋_GB2312" w:eastAsia="仿宋_GB2312" w:hAnsiTheme="minorHAnsi"/>
          <w:color w:val="auto"/>
          <w:sz w:val="28"/>
          <w:szCs w:val="28"/>
          <w:highlight w:val="none"/>
        </w:rPr>
        <w:t xml:space="preserve">               </w:t>
      </w:r>
    </w:p>
    <w:p>
      <w:pPr>
        <w:numPr>
          <w:ilvl w:val="0"/>
          <w:numId w:val="2"/>
        </w:num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响应文件的递交</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.1递交响应文件截止时间：</w:t>
      </w:r>
      <w:r>
        <w:rPr>
          <w:rFonts w:hint="eastAsia" w:ascii="仿宋_GB2312" w:eastAsia="仿宋_GB2312"/>
          <w:color w:val="auto"/>
          <w:sz w:val="28"/>
          <w:szCs w:val="28"/>
          <w:highlight w:val="none"/>
          <w:u w:val="single"/>
          <w:lang w:val="en-US" w:eastAsia="zh-CN"/>
        </w:rPr>
        <w:t>2024</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lang w:val="en-US" w:eastAsia="zh-CN"/>
        </w:rPr>
        <w:t>4</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17</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日</w:t>
      </w:r>
      <w:r>
        <w:rPr>
          <w:rFonts w:hint="eastAsia" w:ascii="仿宋_GB2312" w:eastAsia="仿宋_GB2312"/>
          <w:color w:val="auto"/>
          <w:sz w:val="28"/>
          <w:szCs w:val="28"/>
          <w:highlight w:val="none"/>
          <w:u w:val="single"/>
          <w:lang w:val="en-US" w:eastAsia="zh-CN"/>
        </w:rPr>
        <w:t>17</w:t>
      </w:r>
      <w:r>
        <w:rPr>
          <w:rFonts w:hint="eastAsia" w:ascii="仿宋_GB2312" w:eastAsia="仿宋_GB2312"/>
          <w:color w:val="auto"/>
          <w:sz w:val="28"/>
          <w:szCs w:val="28"/>
          <w:highlight w:val="none"/>
        </w:rPr>
        <w:t>时</w:t>
      </w:r>
      <w:r>
        <w:rPr>
          <w:rFonts w:hint="eastAsia" w:ascii="仿宋_GB2312" w:eastAsia="仿宋_GB2312"/>
          <w:color w:val="auto"/>
          <w:sz w:val="28"/>
          <w:szCs w:val="28"/>
          <w:highlight w:val="none"/>
          <w:u w:val="single"/>
          <w:lang w:val="en-US" w:eastAsia="zh-CN"/>
        </w:rPr>
        <w:t>30</w:t>
      </w:r>
      <w:r>
        <w:rPr>
          <w:rFonts w:hint="eastAsia" w:ascii="仿宋_GB2312" w:eastAsia="仿宋_GB2312"/>
          <w:color w:val="auto"/>
          <w:sz w:val="28"/>
          <w:szCs w:val="28"/>
          <w:highlight w:val="none"/>
        </w:rPr>
        <w:t>分</w:t>
      </w:r>
      <w:r>
        <w:rPr>
          <w:rFonts w:hint="eastAsia" w:ascii="仿宋_GB2312" w:eastAsia="仿宋_GB2312"/>
          <w:color w:val="auto"/>
          <w:sz w:val="28"/>
          <w:szCs w:val="28"/>
          <w:highlight w:val="none"/>
          <w:lang w:val="en-US" w:eastAsia="zh-CN"/>
        </w:rPr>
        <w:t>前</w:t>
      </w:r>
      <w:r>
        <w:rPr>
          <w:rFonts w:hint="eastAsia" w:ascii="仿宋_GB2312" w:eastAsia="仿宋_GB2312"/>
          <w:color w:val="auto"/>
          <w:sz w:val="28"/>
          <w:szCs w:val="28"/>
          <w:highlight w:val="none"/>
        </w:rPr>
        <w:t>（北京时间）。</w:t>
      </w:r>
    </w:p>
    <w:p>
      <w:pPr>
        <w:adjustRightInd w:val="0"/>
        <w:snapToGrid w:val="0"/>
        <w:spacing w:line="600" w:lineRule="exact"/>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.2递交</w:t>
      </w:r>
      <w:r>
        <w:rPr>
          <w:rFonts w:hint="eastAsia" w:ascii="仿宋_GB2312" w:eastAsia="仿宋_GB2312"/>
          <w:color w:val="auto"/>
          <w:sz w:val="28"/>
          <w:szCs w:val="28"/>
          <w:highlight w:val="none"/>
          <w:lang w:val="en-US" w:eastAsia="zh-CN"/>
        </w:rPr>
        <w:t>及快递</w:t>
      </w:r>
      <w:r>
        <w:rPr>
          <w:rFonts w:hint="eastAsia" w:ascii="仿宋_GB2312" w:eastAsia="仿宋_GB2312"/>
          <w:color w:val="auto"/>
          <w:sz w:val="28"/>
          <w:szCs w:val="28"/>
          <w:highlight w:val="none"/>
        </w:rPr>
        <w:t>地址：</w:t>
      </w:r>
      <w:r>
        <w:rPr>
          <w:rFonts w:hint="eastAsia" w:ascii="仿宋_GB2312" w:hAnsi="仿宋_GB2312" w:eastAsia="仿宋_GB2312" w:cs="仿宋_GB2312"/>
          <w:color w:val="000000"/>
          <w:sz w:val="28"/>
          <w:szCs w:val="28"/>
          <w:u w:val="single"/>
        </w:rPr>
        <w:t>广州市从化区江埔街道从荔路50号广州从化净水有限公司</w:t>
      </w:r>
      <w:r>
        <w:rPr>
          <w:rFonts w:hint="eastAsia" w:ascii="仿宋_GB2312" w:eastAsia="仿宋_GB2312"/>
          <w:color w:val="auto"/>
          <w:sz w:val="28"/>
          <w:szCs w:val="28"/>
          <w:highlight w:val="none"/>
        </w:rPr>
        <w:t>。</w:t>
      </w:r>
    </w:p>
    <w:p>
      <w:pPr>
        <w:adjustRightInd w:val="0"/>
        <w:snapToGrid w:val="0"/>
        <w:spacing w:line="600" w:lineRule="exact"/>
        <w:jc w:val="left"/>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防疫要求：我公司仅接受快递或自行送达形式递交响应文件，响应文件须于递交截止时间前送达。</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7</w:t>
      </w:r>
      <w:r>
        <w:rPr>
          <w:rFonts w:hint="eastAsia" w:asciiTheme="minorEastAsia" w:hAnsiTheme="minorEastAsia"/>
          <w:b/>
          <w:color w:val="auto"/>
          <w:sz w:val="32"/>
          <w:szCs w:val="32"/>
          <w:highlight w:val="none"/>
        </w:rPr>
        <w:t>.其他</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7</w:t>
      </w:r>
      <w:r>
        <w:rPr>
          <w:rFonts w:hint="eastAsia" w:ascii="仿宋_GB2312" w:eastAsia="仿宋_GB2312"/>
          <w:color w:val="auto"/>
          <w:sz w:val="28"/>
          <w:szCs w:val="28"/>
          <w:highlight w:val="none"/>
        </w:rPr>
        <w:t>.1发布公告的其他媒介</w:t>
      </w:r>
    </w:p>
    <w:p>
      <w:pPr>
        <w:adjustRightInd w:val="0"/>
        <w:snapToGrid w:val="0"/>
        <w:spacing w:line="600" w:lineRule="exact"/>
        <w:ind w:firstLine="555"/>
        <w:rPr>
          <w:rFonts w:ascii="仿宋_GB2312" w:hAnsi="Calibri" w:eastAsia="仿宋_GB2312" w:cs="Times New Roman"/>
          <w:color w:val="auto"/>
          <w:sz w:val="28"/>
          <w:szCs w:val="28"/>
          <w:highlight w:val="none"/>
        </w:rPr>
      </w:pPr>
      <w:r>
        <w:rPr>
          <w:rFonts w:hint="eastAsia" w:ascii="仿宋_GB2312" w:eastAsia="仿宋_GB2312"/>
          <w:color w:val="auto"/>
          <w:sz w:val="28"/>
          <w:szCs w:val="28"/>
          <w:highlight w:val="none"/>
        </w:rPr>
        <w:t>本项目</w:t>
      </w:r>
      <w:r>
        <w:rPr>
          <w:rFonts w:hint="eastAsia" w:ascii="仿宋_GB2312" w:eastAsia="仿宋_GB2312"/>
          <w:color w:val="auto"/>
          <w:sz w:val="28"/>
          <w:szCs w:val="28"/>
          <w:highlight w:val="none"/>
          <w:lang w:eastAsia="zh-CN"/>
        </w:rPr>
        <w:t>采购公告（采购邀请书）、</w:t>
      </w:r>
      <w:r>
        <w:rPr>
          <w:rFonts w:hint="eastAsia" w:ascii="仿宋_GB2312" w:eastAsia="仿宋_GB2312"/>
          <w:color w:val="auto"/>
          <w:sz w:val="28"/>
          <w:szCs w:val="28"/>
          <w:highlight w:val="none"/>
          <w:lang w:val="en-US" w:eastAsia="zh-CN"/>
        </w:rPr>
        <w:t>公告补充及修改</w:t>
      </w:r>
      <w:r>
        <w:rPr>
          <w:rFonts w:hint="eastAsia" w:ascii="仿宋_GB2312" w:eastAsia="仿宋_GB2312"/>
          <w:color w:val="auto"/>
          <w:sz w:val="28"/>
          <w:szCs w:val="28"/>
          <w:highlight w:val="none"/>
        </w:rPr>
        <w:t>同</w:t>
      </w:r>
      <w:r>
        <w:rPr>
          <w:rFonts w:hint="eastAsia" w:ascii="仿宋_GB2312" w:eastAsia="仿宋_GB2312"/>
          <w:color w:val="auto"/>
          <w:sz w:val="28"/>
          <w:szCs w:val="28"/>
          <w:highlight w:val="none"/>
          <w:lang w:val="en-US" w:eastAsia="zh-CN"/>
        </w:rPr>
        <w:t>步</w:t>
      </w:r>
      <w:r>
        <w:rPr>
          <w:rFonts w:hint="eastAsia" w:ascii="仿宋_GB2312" w:eastAsia="仿宋_GB2312"/>
          <w:color w:val="auto"/>
          <w:sz w:val="28"/>
          <w:szCs w:val="28"/>
          <w:highlight w:val="none"/>
        </w:rPr>
        <w:t>在广州净水公司门户网</w:t>
      </w:r>
      <w:r>
        <w:rPr>
          <w:rFonts w:hint="eastAsia" w:ascii="仿宋_GB2312" w:eastAsia="仿宋_GB2312"/>
          <w:color w:val="auto"/>
          <w:sz w:val="28"/>
          <w:szCs w:val="28"/>
          <w:highlight w:val="none"/>
          <w:lang w:val="en-US" w:eastAsia="zh-CN"/>
        </w:rPr>
        <w:t>站及阳光平台</w:t>
      </w:r>
      <w:r>
        <w:rPr>
          <w:rFonts w:hint="eastAsia" w:ascii="仿宋_GB2312" w:eastAsia="仿宋_GB2312"/>
          <w:color w:val="auto"/>
          <w:sz w:val="28"/>
          <w:szCs w:val="28"/>
          <w:highlight w:val="none"/>
        </w:rPr>
        <w:t>上发布。</w:t>
      </w:r>
      <w:r>
        <w:rPr>
          <w:rFonts w:hint="eastAsia" w:ascii="仿宋_GB2312" w:hAnsi="Calibri" w:eastAsia="仿宋_GB2312" w:cs="Times New Roman"/>
          <w:color w:val="auto"/>
          <w:sz w:val="28"/>
          <w:szCs w:val="28"/>
          <w:highlight w:val="none"/>
        </w:rPr>
        <w:t>本公告在各媒体发布的文本如有不同之处，以</w:t>
      </w:r>
      <w:r>
        <w:rPr>
          <w:rFonts w:hint="eastAsia" w:ascii="仿宋_GB2312" w:hAnsi="Calibri" w:eastAsia="仿宋_GB2312" w:cs="Times New Roman"/>
          <w:color w:val="auto"/>
          <w:sz w:val="28"/>
          <w:szCs w:val="28"/>
          <w:highlight w:val="none"/>
          <w:lang w:val="en-US" w:eastAsia="zh-CN"/>
        </w:rPr>
        <w:t>广州净水公司门户网站</w:t>
      </w:r>
      <w:r>
        <w:rPr>
          <w:rFonts w:hint="eastAsia" w:ascii="仿宋_GB2312" w:hAnsi="Calibri" w:eastAsia="仿宋_GB2312" w:cs="Times New Roman"/>
          <w:color w:val="auto"/>
          <w:sz w:val="28"/>
          <w:szCs w:val="28"/>
          <w:highlight w:val="none"/>
        </w:rPr>
        <w:t>为准。</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7</w:t>
      </w:r>
      <w:r>
        <w:rPr>
          <w:rFonts w:hint="eastAsia" w:ascii="仿宋_GB2312" w:eastAsia="仿宋_GB2312"/>
          <w:color w:val="auto"/>
          <w:sz w:val="28"/>
          <w:szCs w:val="28"/>
          <w:highlight w:val="none"/>
        </w:rPr>
        <w:t>.2响应文件递交注意事项</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   （1）逾期送达的、未送达指定地点的响应文件，采购人将予以拒收。</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   （2）不按照采购文件要求密封的响应文件，采购人将予以拒收。</w:t>
      </w:r>
    </w:p>
    <w:p>
      <w:pPr>
        <w:widowControl/>
        <w:shd w:val="clear" w:color="auto" w:fill="FFFFFF"/>
        <w:adjustRightInd w:val="0"/>
        <w:snapToGrid w:val="0"/>
        <w:spacing w:line="600" w:lineRule="exac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8</w:t>
      </w:r>
      <w:r>
        <w:rPr>
          <w:rFonts w:asciiTheme="minorEastAsia" w:hAnsiTheme="minorEastAsia"/>
          <w:b/>
          <w:color w:val="auto"/>
          <w:sz w:val="32"/>
          <w:szCs w:val="32"/>
          <w:highlight w:val="none"/>
        </w:rPr>
        <w:t>.</w:t>
      </w:r>
      <w:r>
        <w:rPr>
          <w:rFonts w:hint="eastAsia" w:asciiTheme="minorEastAsia" w:hAnsiTheme="minorEastAsia"/>
          <w:b/>
          <w:color w:val="auto"/>
          <w:sz w:val="32"/>
          <w:szCs w:val="32"/>
          <w:highlight w:val="none"/>
        </w:rPr>
        <w:t>异议及投诉的受理</w:t>
      </w:r>
    </w:p>
    <w:p>
      <w:pPr>
        <w:widowControl/>
        <w:shd w:val="clear" w:color="auto" w:fill="FFFFFF"/>
        <w:adjustRightInd w:val="0"/>
        <w:snapToGrid w:val="0"/>
        <w:spacing w:line="600" w:lineRule="exact"/>
        <w:ind w:left="1" w:firstLine="618" w:firstLineChars="221"/>
        <w:rPr>
          <w:rFonts w:ascii="仿宋_GB2312" w:hAnsi="仿宋" w:eastAsia="仿宋_GB2312"/>
          <w:color w:val="auto"/>
          <w:sz w:val="28"/>
          <w:szCs w:val="28"/>
          <w:highlight w:val="none"/>
        </w:rPr>
      </w:pPr>
      <w:r>
        <w:rPr>
          <w:rFonts w:ascii="仿宋_GB2312" w:hAnsi="仿宋" w:eastAsia="仿宋_GB2312"/>
          <w:color w:val="auto"/>
          <w:sz w:val="28"/>
          <w:szCs w:val="28"/>
          <w:highlight w:val="none"/>
        </w:rPr>
        <w:t>潜在供应商或利害关系人对本</w:t>
      </w:r>
      <w:r>
        <w:rPr>
          <w:rFonts w:hint="eastAsia" w:ascii="仿宋_GB2312" w:hAnsi="仿宋" w:eastAsia="仿宋_GB2312"/>
          <w:color w:val="auto"/>
          <w:sz w:val="28"/>
          <w:szCs w:val="28"/>
          <w:highlight w:val="none"/>
        </w:rPr>
        <w:t>采购</w:t>
      </w:r>
      <w:r>
        <w:rPr>
          <w:rFonts w:ascii="仿宋_GB2312" w:hAnsi="仿宋" w:eastAsia="仿宋_GB2312"/>
          <w:color w:val="auto"/>
          <w:sz w:val="28"/>
          <w:szCs w:val="28"/>
          <w:highlight w:val="none"/>
        </w:rPr>
        <w:t>公告及采购文件中任何违法及不公平内容有异议的，可以在提交</w:t>
      </w:r>
      <w:r>
        <w:rPr>
          <w:rFonts w:hint="eastAsia" w:ascii="仿宋_GB2312" w:hAnsi="仿宋" w:eastAsia="仿宋_GB2312"/>
          <w:color w:val="auto"/>
          <w:sz w:val="28"/>
          <w:szCs w:val="28"/>
          <w:highlight w:val="none"/>
        </w:rPr>
        <w:t>响应文件截止之日</w:t>
      </w:r>
      <w:r>
        <w:rPr>
          <w:rFonts w:hint="eastAsia" w:ascii="仿宋_GB2312" w:hAnsi="仿宋" w:eastAsia="仿宋_GB2312"/>
          <w:color w:val="auto"/>
          <w:sz w:val="28"/>
          <w:szCs w:val="28"/>
          <w:highlight w:val="none"/>
          <w:u w:val="single"/>
          <w:lang w:val="en-US" w:eastAsia="zh-CN"/>
        </w:rPr>
        <w:t>2</w:t>
      </w:r>
      <w:r>
        <w:rPr>
          <w:rFonts w:hint="eastAsia" w:ascii="仿宋_GB2312" w:hAnsi="仿宋" w:eastAsia="仿宋_GB2312"/>
          <w:color w:val="auto"/>
          <w:sz w:val="28"/>
          <w:szCs w:val="28"/>
          <w:highlight w:val="none"/>
        </w:rPr>
        <w:t>个工作日前</w:t>
      </w:r>
      <w:r>
        <w:rPr>
          <w:rFonts w:ascii="仿宋_GB2312" w:hAnsi="仿宋" w:eastAsia="仿宋_GB2312"/>
          <w:color w:val="auto"/>
          <w:sz w:val="28"/>
          <w:szCs w:val="28"/>
          <w:highlight w:val="none"/>
        </w:rPr>
        <w:t>书面提出异议。如潜在响应人或其他利害关系人对采购人答复仍持有异议的，可按相关规定进行投诉。</w:t>
      </w:r>
    </w:p>
    <w:p>
      <w:pPr>
        <w:widowControl/>
        <w:shd w:val="clear" w:color="auto" w:fill="FFFFFF"/>
        <w:adjustRightInd w:val="0"/>
        <w:snapToGrid w:val="0"/>
        <w:spacing w:line="600" w:lineRule="exact"/>
        <w:ind w:left="1" w:firstLine="480"/>
        <w:rPr>
          <w:rFonts w:ascii="仿宋_GB2312" w:hAnsi="仿宋" w:eastAsia="仿宋_GB2312"/>
          <w:color w:val="auto"/>
          <w:sz w:val="28"/>
          <w:szCs w:val="28"/>
          <w:highlight w:val="none"/>
        </w:rPr>
      </w:pPr>
      <w:r>
        <w:rPr>
          <w:rFonts w:ascii="仿宋_GB2312" w:hAnsi="仿宋" w:eastAsia="仿宋_GB2312"/>
          <w:color w:val="auto"/>
          <w:sz w:val="28"/>
          <w:szCs w:val="28"/>
          <w:highlight w:val="none"/>
        </w:rPr>
        <w:t>异议受理部门：</w:t>
      </w:r>
      <w:r>
        <w:rPr>
          <w:rFonts w:hint="eastAsia" w:ascii="仿宋_GB2312" w:hAnsi="仿宋" w:eastAsia="仿宋_GB2312"/>
          <w:color w:val="auto"/>
          <w:sz w:val="28"/>
          <w:szCs w:val="28"/>
          <w:highlight w:val="none"/>
          <w:u w:val="single"/>
          <w:lang w:val="en-US" w:eastAsia="zh-CN"/>
        </w:rPr>
        <w:t>广州从化净水有限公司</w:t>
      </w:r>
      <w:r>
        <w:rPr>
          <w:rFonts w:ascii="仿宋_GB2312" w:hAnsi="仿宋" w:eastAsia="仿宋_GB2312"/>
          <w:color w:val="auto"/>
          <w:sz w:val="28"/>
          <w:szCs w:val="28"/>
          <w:highlight w:val="none"/>
        </w:rPr>
        <w:t>，电话：</w:t>
      </w:r>
      <w:r>
        <w:rPr>
          <w:rFonts w:hint="eastAsia" w:ascii="仿宋_GB2312" w:hAnsi="仿宋" w:eastAsia="仿宋_GB2312"/>
          <w:color w:val="auto"/>
          <w:sz w:val="28"/>
          <w:szCs w:val="28"/>
          <w:highlight w:val="none"/>
          <w:lang w:val="en-US" w:eastAsia="zh-CN"/>
        </w:rPr>
        <w:t>37984611-6035</w:t>
      </w:r>
      <w:r>
        <w:rPr>
          <w:rFonts w:ascii="仿宋_GB2312" w:hAnsi="仿宋" w:eastAsia="仿宋_GB2312"/>
          <w:color w:val="auto"/>
          <w:sz w:val="28"/>
          <w:szCs w:val="28"/>
          <w:highlight w:val="none"/>
        </w:rPr>
        <w:t>。</w:t>
      </w:r>
    </w:p>
    <w:p>
      <w:pPr>
        <w:widowControl/>
        <w:shd w:val="clear" w:color="auto" w:fill="FFFFFF"/>
        <w:adjustRightInd w:val="0"/>
        <w:snapToGrid w:val="0"/>
        <w:spacing w:line="600" w:lineRule="exact"/>
        <w:ind w:left="1" w:firstLine="480"/>
        <w:rPr>
          <w:rFonts w:ascii="仿宋_GB2312" w:hAnsi="仿宋" w:eastAsia="仿宋_GB2312"/>
          <w:color w:val="auto"/>
          <w:sz w:val="28"/>
          <w:szCs w:val="28"/>
          <w:highlight w:val="none"/>
        </w:rPr>
      </w:pPr>
      <w:r>
        <w:rPr>
          <w:rFonts w:ascii="仿宋_GB2312" w:hAnsi="仿宋" w:eastAsia="仿宋_GB2312"/>
          <w:color w:val="auto"/>
          <w:sz w:val="28"/>
          <w:szCs w:val="28"/>
          <w:highlight w:val="none"/>
        </w:rPr>
        <w:t>地址：</w:t>
      </w:r>
      <w:r>
        <w:rPr>
          <w:rFonts w:hint="eastAsia" w:ascii="仿宋_GB2312" w:hAnsi="仿宋" w:eastAsia="仿宋_GB2312"/>
          <w:color w:val="auto"/>
          <w:sz w:val="28"/>
          <w:szCs w:val="28"/>
          <w:highlight w:val="none"/>
          <w:u w:val="single"/>
          <w:lang w:val="en-US" w:eastAsia="zh-CN"/>
        </w:rPr>
        <w:t>广州市从化区江浦街从从荔路50号广州从化净水有限公司</w:t>
      </w:r>
      <w:r>
        <w:rPr>
          <w:rFonts w:hint="eastAsia" w:ascii="仿宋_GB2312" w:hAnsi="仿宋" w:eastAsia="仿宋_GB2312"/>
          <w:color w:val="auto"/>
          <w:sz w:val="28"/>
          <w:szCs w:val="28"/>
          <w:highlight w:val="none"/>
        </w:rPr>
        <w:t xml:space="preserve"> </w:t>
      </w:r>
      <w:r>
        <w:rPr>
          <w:rFonts w:ascii="仿宋_GB2312" w:hAnsi="仿宋" w:eastAsia="仿宋_GB2312"/>
          <w:color w:val="auto"/>
          <w:sz w:val="28"/>
          <w:szCs w:val="28"/>
          <w:highlight w:val="none"/>
        </w:rPr>
        <w:t>。</w:t>
      </w:r>
    </w:p>
    <w:p>
      <w:pPr>
        <w:widowControl/>
        <w:shd w:val="clear" w:color="auto" w:fill="FFFFFF"/>
        <w:adjustRightInd w:val="0"/>
        <w:snapToGrid w:val="0"/>
        <w:spacing w:line="600" w:lineRule="exact"/>
        <w:ind w:left="1" w:firstLine="480"/>
        <w:rPr>
          <w:rFonts w:ascii="仿宋_GB2312" w:hAnsi="仿宋" w:eastAsia="仿宋_GB2312"/>
          <w:color w:val="auto"/>
          <w:sz w:val="28"/>
          <w:szCs w:val="28"/>
          <w:highlight w:val="none"/>
        </w:rPr>
      </w:pPr>
    </w:p>
    <w:p>
      <w:pPr>
        <w:adjustRightInd w:val="0"/>
        <w:snapToGrid w:val="0"/>
        <w:spacing w:beforeLines="50" w:afterLines="50"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9</w:t>
      </w:r>
      <w:r>
        <w:rPr>
          <w:rFonts w:hint="eastAsia" w:asciiTheme="minorEastAsia" w:hAnsiTheme="minorEastAsia"/>
          <w:b/>
          <w:color w:val="auto"/>
          <w:sz w:val="32"/>
          <w:szCs w:val="32"/>
          <w:highlight w:val="none"/>
        </w:rPr>
        <w:t>.联系方式</w:t>
      </w:r>
    </w:p>
    <w:tbl>
      <w:tblPr>
        <w:tblStyle w:val="2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41" w:type="dxa"/>
            <w:vAlign w:val="center"/>
          </w:tcPr>
          <w:p>
            <w:pPr>
              <w:adjustRightInd w:val="0"/>
              <w:snapToGrid w:val="0"/>
              <w:spacing w:line="600" w:lineRule="exact"/>
              <w:jc w:val="both"/>
              <w:rPr>
                <w:rFonts w:ascii="仿宋_GB2312" w:eastAsia="仿宋_GB2312"/>
                <w:color w:val="auto"/>
                <w:sz w:val="28"/>
                <w:szCs w:val="28"/>
                <w:highlight w:val="none"/>
              </w:rPr>
            </w:pPr>
            <w:r>
              <w:rPr>
                <w:rFonts w:ascii="仿宋_GB2312" w:eastAsia="仿宋_GB2312"/>
                <w:color w:val="auto"/>
                <w:sz w:val="28"/>
                <w:szCs w:val="28"/>
                <w:highlight w:val="none"/>
              </w:rPr>
              <w:t>采购人</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广州从化净水有限公司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41" w:type="dxa"/>
            <w:vAlign w:val="center"/>
          </w:tcPr>
          <w:p>
            <w:pPr>
              <w:adjustRightInd w:val="0"/>
              <w:snapToGrid w:val="0"/>
              <w:spacing w:line="600" w:lineRule="exact"/>
              <w:jc w:val="both"/>
              <w:rPr>
                <w:rFonts w:hint="default" w:ascii="仿宋_GB2312" w:eastAsia="仿宋_GB2312"/>
                <w:color w:val="auto"/>
                <w:sz w:val="28"/>
                <w:szCs w:val="28"/>
                <w:highlight w:val="none"/>
                <w:lang w:val="en-US" w:eastAsia="zh-CN"/>
              </w:rPr>
            </w:pPr>
            <w:r>
              <w:rPr>
                <w:rFonts w:ascii="仿宋_GB2312" w:eastAsia="仿宋_GB2312"/>
                <w:color w:val="auto"/>
                <w:sz w:val="28"/>
                <w:szCs w:val="28"/>
                <w:highlight w:val="none"/>
              </w:rPr>
              <w:t>地</w:t>
            </w:r>
            <w:r>
              <w:rPr>
                <w:rFonts w:hint="eastAsia" w:ascii="仿宋_GB2312" w:eastAsia="仿宋_GB2312"/>
                <w:color w:val="auto"/>
                <w:sz w:val="28"/>
                <w:szCs w:val="28"/>
                <w:highlight w:val="none"/>
              </w:rPr>
              <w:t xml:space="preserve">  </w:t>
            </w:r>
            <w:r>
              <w:rPr>
                <w:rFonts w:ascii="仿宋_GB2312" w:eastAsia="仿宋_GB2312"/>
                <w:color w:val="auto"/>
                <w:sz w:val="28"/>
                <w:szCs w:val="28"/>
                <w:highlight w:val="none"/>
              </w:rPr>
              <w:t>址</w:t>
            </w:r>
            <w:r>
              <w:rPr>
                <w:rFonts w:hint="eastAsia" w:ascii="仿宋_GB2312" w:eastAsia="仿宋_GB2312"/>
                <w:color w:val="auto"/>
                <w:sz w:val="28"/>
                <w:szCs w:val="28"/>
                <w:highlight w:val="none"/>
              </w:rPr>
              <w:t>：</w:t>
            </w:r>
            <w:r>
              <w:rPr>
                <w:rFonts w:hint="eastAsia" w:ascii="仿宋_GB2312" w:hAnsi="仿宋" w:eastAsia="仿宋_GB2312"/>
                <w:color w:val="auto"/>
                <w:sz w:val="28"/>
                <w:szCs w:val="28"/>
                <w:highlight w:val="none"/>
                <w:u w:val="single"/>
                <w:lang w:val="en-US" w:eastAsia="zh-CN"/>
              </w:rPr>
              <w:t>广州市从化区江浦街从从荔路50号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41" w:type="dxa"/>
            <w:vAlign w:val="center"/>
          </w:tcPr>
          <w:p>
            <w:pPr>
              <w:pStyle w:val="22"/>
              <w:spacing w:line="360" w:lineRule="auto"/>
              <w:ind w:firstLine="0"/>
              <w:jc w:val="both"/>
              <w:rPr>
                <w:rFonts w:hint="default" w:ascii="仿宋_GB2312" w:eastAsia="仿宋_GB2312"/>
                <w:color w:val="auto"/>
                <w:sz w:val="28"/>
                <w:szCs w:val="28"/>
                <w:highlight w:val="none"/>
                <w:lang w:val="en-US" w:eastAsia="zh-CN"/>
              </w:rPr>
            </w:pPr>
            <w:r>
              <w:rPr>
                <w:rFonts w:ascii="仿宋_GB2312" w:eastAsia="仿宋_GB2312"/>
                <w:color w:val="auto"/>
                <w:sz w:val="28"/>
                <w:szCs w:val="28"/>
                <w:highlight w:val="none"/>
              </w:rPr>
              <w:t>联系人</w:t>
            </w:r>
            <w:r>
              <w:rPr>
                <w:rFonts w:hint="eastAsia" w:ascii="仿宋_GB2312" w:eastAsia="仿宋_GB2312"/>
                <w:color w:val="auto"/>
                <w:sz w:val="28"/>
                <w:szCs w:val="28"/>
                <w:highlight w:val="none"/>
              </w:rPr>
              <w:t>：</w:t>
            </w:r>
            <w:r>
              <w:rPr>
                <w:rFonts w:hint="eastAsia" w:ascii="仿宋_GB2312" w:eastAsia="仿宋_GB2312" w:hAnsiTheme="minorHAnsi" w:cstheme="minorBidi"/>
                <w:color w:val="auto"/>
                <w:kern w:val="2"/>
                <w:sz w:val="28"/>
                <w:szCs w:val="28"/>
                <w:highlight w:val="none"/>
                <w:lang w:val="en-US" w:eastAsia="zh-CN"/>
              </w:rPr>
              <w:t>汤工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41" w:type="dxa"/>
            <w:vAlign w:val="center"/>
          </w:tcPr>
          <w:p>
            <w:pPr>
              <w:adjustRightInd w:val="0"/>
              <w:snapToGrid w:val="0"/>
              <w:spacing w:line="600" w:lineRule="exact"/>
              <w:jc w:val="both"/>
              <w:rPr>
                <w:rFonts w:ascii="仿宋_GB2312" w:eastAsia="仿宋_GB2312"/>
                <w:color w:val="auto"/>
                <w:sz w:val="28"/>
                <w:szCs w:val="28"/>
                <w:highlight w:val="none"/>
              </w:rPr>
            </w:pPr>
            <w:r>
              <w:rPr>
                <w:rFonts w:ascii="仿宋_GB2312" w:eastAsia="仿宋_GB2312"/>
                <w:color w:val="auto"/>
                <w:sz w:val="28"/>
                <w:szCs w:val="28"/>
                <w:highlight w:val="none"/>
              </w:rPr>
              <w:t>电</w:t>
            </w:r>
            <w:r>
              <w:rPr>
                <w:rFonts w:hint="eastAsia" w:ascii="仿宋_GB2312" w:eastAsia="仿宋_GB2312"/>
                <w:color w:val="auto"/>
                <w:sz w:val="28"/>
                <w:szCs w:val="28"/>
                <w:highlight w:val="none"/>
              </w:rPr>
              <w:t xml:space="preserve">  </w:t>
            </w:r>
            <w:r>
              <w:rPr>
                <w:rFonts w:ascii="仿宋_GB2312" w:eastAsia="仿宋_GB2312"/>
                <w:color w:val="auto"/>
                <w:sz w:val="28"/>
                <w:szCs w:val="28"/>
                <w:highlight w:val="none"/>
              </w:rPr>
              <w:t>话</w:t>
            </w:r>
            <w:r>
              <w:rPr>
                <w:rFonts w:hint="eastAsia" w:ascii="仿宋_GB2312" w:eastAsia="仿宋_GB2312"/>
                <w:color w:val="auto"/>
                <w:sz w:val="28"/>
                <w:szCs w:val="28"/>
                <w:highlight w:val="none"/>
              </w:rPr>
              <w:t>：</w:t>
            </w:r>
            <w:r>
              <w:rPr>
                <w:rFonts w:hint="eastAsia" w:ascii="仿宋_GB2312" w:hAnsi="宋体" w:eastAsia="仿宋_GB2312"/>
                <w:bCs/>
                <w:sz w:val="28"/>
                <w:szCs w:val="28"/>
                <w:lang w:val="en-US" w:eastAsia="zh-CN"/>
              </w:rPr>
              <w:t>13922144478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41" w:type="dxa"/>
            <w:vAlign w:val="center"/>
          </w:tcPr>
          <w:p>
            <w:pPr>
              <w:adjustRightInd w:val="0"/>
              <w:snapToGrid w:val="0"/>
              <w:spacing w:line="600" w:lineRule="exact"/>
              <w:jc w:val="both"/>
              <w:rPr>
                <w:rFonts w:ascii="仿宋_GB2312" w:eastAsia="仿宋_GB2312"/>
                <w:color w:val="auto"/>
                <w:sz w:val="28"/>
                <w:szCs w:val="28"/>
                <w:highlight w:val="none"/>
              </w:rPr>
            </w:pPr>
            <w:r>
              <w:rPr>
                <w:rFonts w:hint="eastAsia" w:ascii="仿宋_GB2312" w:eastAsia="仿宋_GB2312"/>
                <w:color w:val="auto"/>
                <w:sz w:val="28"/>
                <w:szCs w:val="28"/>
                <w:highlight w:val="none"/>
                <w:u w:val="single"/>
                <w:lang w:val="en-US" w:eastAsia="zh-CN"/>
              </w:rPr>
              <w:t>2024</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4</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12</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日</w:t>
            </w:r>
          </w:p>
        </w:tc>
      </w:tr>
    </w:tbl>
    <w:p>
      <w:pPr>
        <w:pStyle w:val="22"/>
        <w:ind w:firstLine="0"/>
        <w:rPr>
          <w:rFonts w:hint="eastAsia" w:ascii="仿宋_GB2312" w:eastAsia="仿宋_GB2312" w:hAnsiTheme="majorEastAsia"/>
          <w:color w:val="auto"/>
          <w:sz w:val="28"/>
          <w:szCs w:val="28"/>
          <w:highlight w:val="none"/>
        </w:rPr>
      </w:pPr>
    </w:p>
    <w:p>
      <w:pPr>
        <w:adjustRightInd w:val="0"/>
        <w:snapToGrid w:val="0"/>
        <w:spacing w:line="600" w:lineRule="exact"/>
        <w:jc w:val="left"/>
        <w:rPr>
          <w:rFonts w:hint="eastAsia" w:ascii="仿宋_GB2312" w:eastAsia="仿宋_GB2312" w:hAnsiTheme="majorEastAsia"/>
          <w:color w:val="auto"/>
          <w:sz w:val="28"/>
          <w:szCs w:val="28"/>
          <w:highlight w:val="none"/>
        </w:rPr>
      </w:pPr>
    </w:p>
    <w:p>
      <w:pPr>
        <w:pStyle w:val="22"/>
        <w:rPr>
          <w:rFonts w:hint="eastAsia" w:ascii="仿宋_GB2312" w:eastAsia="仿宋_GB2312" w:hAnsiTheme="majorEastAsia"/>
          <w:color w:val="auto"/>
          <w:sz w:val="28"/>
          <w:szCs w:val="28"/>
          <w:highlight w:val="none"/>
        </w:rPr>
      </w:pPr>
    </w:p>
    <w:p>
      <w:pPr>
        <w:pStyle w:val="22"/>
        <w:rPr>
          <w:rFonts w:hint="eastAsia" w:ascii="仿宋_GB2312" w:eastAsia="仿宋_GB2312" w:hAnsiTheme="majorEastAsia"/>
          <w:color w:val="auto"/>
          <w:sz w:val="28"/>
          <w:szCs w:val="28"/>
          <w:highlight w:val="none"/>
        </w:rPr>
      </w:pPr>
    </w:p>
    <w:p>
      <w:pPr>
        <w:adjustRightInd w:val="0"/>
        <w:snapToGrid w:val="0"/>
        <w:spacing w:beforeLines="50" w:afterLines="50" w:line="600" w:lineRule="exact"/>
        <w:jc w:val="left"/>
        <w:rPr>
          <w:rFonts w:hint="eastAsia" w:asciiTheme="minorEastAsia" w:hAnsiTheme="minorEastAsia"/>
          <w:color w:val="auto"/>
          <w:sz w:val="24"/>
          <w:szCs w:val="24"/>
          <w:highlight w:val="none"/>
        </w:rPr>
      </w:pPr>
    </w:p>
    <w:p>
      <w:pPr>
        <w:adjustRightInd w:val="0"/>
        <w:snapToGrid w:val="0"/>
        <w:spacing w:beforeLines="50" w:afterLines="50" w:line="600" w:lineRule="exact"/>
        <w:jc w:val="left"/>
        <w:rPr>
          <w:rFonts w:hint="eastAsia" w:asciiTheme="minorEastAsia" w:hAnsiTheme="minorEastAsia"/>
          <w:color w:val="auto"/>
          <w:sz w:val="24"/>
          <w:szCs w:val="24"/>
          <w:highlight w:val="none"/>
        </w:rPr>
      </w:pPr>
    </w:p>
    <w:p>
      <w:pPr>
        <w:adjustRightInd w:val="0"/>
        <w:snapToGrid w:val="0"/>
        <w:spacing w:beforeLines="50" w:afterLines="50" w:line="600" w:lineRule="exact"/>
        <w:jc w:val="left"/>
        <w:rPr>
          <w:rFonts w:hint="eastAsia" w:asciiTheme="minorEastAsia" w:hAnsiTheme="minorEastAsia"/>
          <w:color w:val="auto"/>
          <w:sz w:val="24"/>
          <w:szCs w:val="24"/>
          <w:highlight w:val="none"/>
        </w:rPr>
      </w:pPr>
    </w:p>
    <w:p>
      <w:pPr>
        <w:adjustRightInd w:val="0"/>
        <w:snapToGrid w:val="0"/>
        <w:spacing w:beforeLines="50" w:afterLines="50" w:line="600" w:lineRule="exact"/>
        <w:jc w:val="left"/>
        <w:rPr>
          <w:rFonts w:hint="eastAsia" w:asciiTheme="minorEastAsia" w:hAnsiTheme="minorEastAsia"/>
          <w:color w:val="auto"/>
          <w:sz w:val="24"/>
          <w:szCs w:val="24"/>
          <w:highlight w:val="none"/>
        </w:rPr>
      </w:pPr>
    </w:p>
    <w:p>
      <w:pPr>
        <w:adjustRightInd w:val="0"/>
        <w:snapToGrid w:val="0"/>
        <w:spacing w:beforeLines="50" w:afterLines="50" w:line="600" w:lineRule="exact"/>
        <w:jc w:val="left"/>
        <w:rPr>
          <w:rFonts w:hint="eastAsia" w:asciiTheme="minorEastAsia" w:hAnsiTheme="minorEastAsia"/>
          <w:color w:val="auto"/>
          <w:sz w:val="24"/>
          <w:szCs w:val="24"/>
          <w:highlight w:val="none"/>
        </w:rPr>
      </w:pPr>
    </w:p>
    <w:p>
      <w:pPr>
        <w:adjustRightInd w:val="0"/>
        <w:snapToGrid w:val="0"/>
        <w:spacing w:beforeLines="50" w:afterLines="50" w:line="600" w:lineRule="exact"/>
        <w:jc w:val="left"/>
        <w:rPr>
          <w:rFonts w:hint="eastAsia" w:asciiTheme="minorEastAsia" w:hAnsiTheme="minorEastAsia"/>
          <w:color w:val="auto"/>
          <w:sz w:val="24"/>
          <w:szCs w:val="24"/>
          <w:highlight w:val="none"/>
        </w:rPr>
      </w:pPr>
    </w:p>
    <w:p>
      <w:pPr>
        <w:adjustRightInd w:val="0"/>
        <w:snapToGrid w:val="0"/>
        <w:spacing w:beforeLines="50" w:afterLines="50" w:line="600" w:lineRule="exact"/>
        <w:jc w:val="left"/>
        <w:rPr>
          <w:rFonts w:hint="eastAsia" w:asciiTheme="minorEastAsia" w:hAnsiTheme="minorEastAsia"/>
          <w:color w:val="auto"/>
          <w:sz w:val="24"/>
          <w:szCs w:val="24"/>
          <w:highlight w:val="none"/>
        </w:rPr>
      </w:pPr>
    </w:p>
    <w:p>
      <w:pPr>
        <w:adjustRightInd w:val="0"/>
        <w:snapToGrid w:val="0"/>
        <w:spacing w:beforeLines="50" w:afterLines="50" w:line="600" w:lineRule="exact"/>
        <w:jc w:val="left"/>
        <w:rPr>
          <w:rFonts w:hint="eastAsia" w:asciiTheme="minorEastAsia" w:hAnsiTheme="minorEastAsia"/>
          <w:color w:val="auto"/>
          <w:sz w:val="24"/>
          <w:szCs w:val="24"/>
          <w:highlight w:val="none"/>
        </w:rPr>
      </w:pPr>
    </w:p>
    <w:p>
      <w:pPr>
        <w:adjustRightInd w:val="0"/>
        <w:snapToGrid w:val="0"/>
        <w:spacing w:beforeLines="50" w:afterLines="50" w:line="600" w:lineRule="exact"/>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适用于纸质评审的采购项目</w:t>
      </w:r>
    </w:p>
    <w:p>
      <w:pPr>
        <w:pStyle w:val="3"/>
        <w:rPr>
          <w:rFonts w:hint="eastAsia"/>
          <w:color w:val="auto"/>
          <w:highlight w:val="none"/>
        </w:rPr>
      </w:pPr>
      <w:bookmarkStart w:id="13" w:name="_Toc10891"/>
    </w:p>
    <w:p>
      <w:pPr>
        <w:pStyle w:val="3"/>
        <w:rPr>
          <w:rFonts w:hint="eastAsia"/>
          <w:color w:val="auto"/>
          <w:highlight w:val="none"/>
        </w:rPr>
      </w:pPr>
      <w:bookmarkStart w:id="14" w:name="_Toc25603"/>
      <w:bookmarkStart w:id="15" w:name="_Toc2324"/>
      <w:bookmarkStart w:id="16" w:name="_Toc32588"/>
      <w:bookmarkStart w:id="17" w:name="_Toc19295"/>
      <w:bookmarkStart w:id="18" w:name="_Toc16705"/>
      <w:bookmarkStart w:id="19" w:name="_Toc2331"/>
      <w:bookmarkStart w:id="20" w:name="_Toc16557"/>
      <w:bookmarkStart w:id="21" w:name="_Toc7340"/>
      <w:bookmarkStart w:id="22" w:name="_Toc9448"/>
      <w:bookmarkStart w:id="23" w:name="_Toc23749"/>
    </w:p>
    <w:p>
      <w:pPr>
        <w:pStyle w:val="3"/>
        <w:rPr>
          <w:color w:val="auto"/>
          <w:highlight w:val="none"/>
        </w:rPr>
      </w:pPr>
      <w:r>
        <w:rPr>
          <w:color w:val="auto"/>
          <w:highlight w:val="none"/>
        </w:rPr>
        <w:pict>
          <v:shape id="_x0000_s2066" o:spid="_x0000_s2066" o:spt="32" type="#_x0000_t32" style="position:absolute;left:0pt;margin-left:184.3pt;margin-top:58.7pt;height:0pt;width:75.5pt;z-index:251675648;mso-width-relative:page;mso-height-relative:page;" o:connectortype="straight" filled="f" coordsize="21600,21600">
            <v:path arrowok="t"/>
            <v:fill on="f" focussize="0,0"/>
            <v:stroke/>
            <v:imagedata o:title=""/>
            <o:lock v:ext="edit"/>
          </v:shape>
        </w:pict>
      </w:r>
      <w:r>
        <w:rPr>
          <w:color w:val="auto"/>
          <w:highlight w:val="none"/>
        </w:rPr>
        <w:pict>
          <v:shape id="_x0000_s2067" o:spid="_x0000_s2067" o:spt="32" type="#_x0000_t32" style="position:absolute;left:0pt;margin-left:184.9pt;margin-top:8.5pt;height:0pt;width:75.5pt;z-index:251674624;mso-width-relative:page;mso-height-relative:page;" o:connectortype="straight" filled="f" coordsize="21600,21600">
            <v:path arrowok="t"/>
            <v:fill on="f" focussize="0,0"/>
            <v:stroke/>
            <v:imagedata o:title=""/>
            <o:lock v:ext="edit"/>
          </v:shape>
        </w:pict>
      </w:r>
      <w:r>
        <w:rPr>
          <w:rFonts w:hint="eastAsia"/>
          <w:color w:val="auto"/>
          <w:highlight w:val="none"/>
        </w:rPr>
        <w:t>第</w:t>
      </w:r>
      <w:r>
        <w:rPr>
          <w:rFonts w:hint="eastAsia"/>
          <w:color w:val="auto"/>
          <w:highlight w:val="none"/>
          <w:lang w:val="en-US" w:eastAsia="zh-CN"/>
        </w:rPr>
        <w:t>二</w:t>
      </w:r>
      <w:r>
        <w:rPr>
          <w:rFonts w:hint="eastAsia"/>
          <w:color w:val="auto"/>
          <w:highlight w:val="none"/>
        </w:rPr>
        <w:t>章</w:t>
      </w:r>
      <w:bookmarkEnd w:id="13"/>
      <w:bookmarkEnd w:id="14"/>
      <w:bookmarkEnd w:id="15"/>
      <w:bookmarkEnd w:id="16"/>
      <w:bookmarkEnd w:id="17"/>
      <w:bookmarkEnd w:id="18"/>
      <w:bookmarkEnd w:id="19"/>
      <w:bookmarkEnd w:id="20"/>
      <w:bookmarkEnd w:id="21"/>
      <w:bookmarkEnd w:id="22"/>
      <w:bookmarkEnd w:id="23"/>
    </w:p>
    <w:p>
      <w:pPr>
        <w:pStyle w:val="4"/>
        <w:rPr>
          <w:rFonts w:hint="eastAsia"/>
          <w:color w:val="auto"/>
          <w:highlight w:val="none"/>
        </w:rPr>
      </w:pPr>
    </w:p>
    <w:p>
      <w:pPr>
        <w:pStyle w:val="4"/>
        <w:rPr>
          <w:color w:val="auto"/>
          <w:highlight w:val="none"/>
        </w:rPr>
      </w:pPr>
      <w:bookmarkStart w:id="24" w:name="_Toc2339"/>
      <w:bookmarkStart w:id="25" w:name="_Toc3416"/>
      <w:r>
        <w:rPr>
          <w:rFonts w:hint="eastAsia"/>
          <w:color w:val="auto"/>
          <w:highlight w:val="none"/>
        </w:rPr>
        <w:t>供应商须知</w:t>
      </w:r>
      <w:bookmarkEnd w:id="24"/>
      <w:bookmarkEnd w:id="25"/>
    </w:p>
    <w:p>
      <w:pPr>
        <w:adjustRightInd w:val="0"/>
        <w:snapToGrid w:val="0"/>
        <w:spacing w:beforeLines="50" w:afterLines="50" w:line="600" w:lineRule="exact"/>
        <w:ind w:left="643" w:hanging="643" w:hangingChars="200"/>
        <w:jc w:val="left"/>
        <w:rPr>
          <w:rFonts w:hint="eastAsia" w:asciiTheme="minorEastAsia" w:hAnsiTheme="minorEastAsia"/>
          <w:b/>
          <w:color w:val="auto"/>
          <w:sz w:val="32"/>
          <w:szCs w:val="32"/>
          <w:highlight w:val="none"/>
        </w:rPr>
      </w:pPr>
    </w:p>
    <w:p>
      <w:pPr>
        <w:pStyle w:val="22"/>
        <w:rPr>
          <w:rFonts w:hint="eastAsia"/>
        </w:rPr>
      </w:pPr>
    </w:p>
    <w:p>
      <w:pPr>
        <w:adjustRightInd w:val="0"/>
        <w:snapToGrid w:val="0"/>
        <w:spacing w:beforeLines="50" w:afterLines="50" w:line="600" w:lineRule="exact"/>
        <w:ind w:left="643" w:hanging="643" w:hangingChars="200"/>
        <w:jc w:val="left"/>
        <w:rPr>
          <w:rFonts w:hint="eastAsia" w:asciiTheme="minorEastAsia" w:hAnsiTheme="minorEastAsia"/>
          <w:b/>
          <w:color w:val="auto"/>
          <w:sz w:val="32"/>
          <w:szCs w:val="32"/>
          <w:highlight w:val="none"/>
        </w:rPr>
      </w:pPr>
    </w:p>
    <w:p>
      <w:pPr>
        <w:adjustRightInd w:val="0"/>
        <w:snapToGrid w:val="0"/>
        <w:spacing w:beforeLines="50" w:afterLines="50" w:line="600" w:lineRule="exact"/>
        <w:ind w:left="643" w:hanging="643" w:hangingChars="200"/>
        <w:jc w:val="left"/>
        <w:rPr>
          <w:rFonts w:hint="eastAsia" w:asciiTheme="minorEastAsia" w:hAnsiTheme="minorEastAsia"/>
          <w:b/>
          <w:color w:val="auto"/>
          <w:sz w:val="32"/>
          <w:szCs w:val="32"/>
          <w:highlight w:val="none"/>
        </w:rPr>
      </w:pPr>
    </w:p>
    <w:p>
      <w:pPr>
        <w:adjustRightInd w:val="0"/>
        <w:snapToGrid w:val="0"/>
        <w:spacing w:beforeLines="50" w:afterLines="50" w:line="600" w:lineRule="exact"/>
        <w:ind w:left="643" w:hanging="643" w:hangingChars="200"/>
        <w:jc w:val="left"/>
        <w:rPr>
          <w:rFonts w:hint="eastAsia" w:asciiTheme="minorEastAsia" w:hAnsiTheme="minorEastAsia"/>
          <w:b/>
          <w:color w:val="auto"/>
          <w:sz w:val="32"/>
          <w:szCs w:val="32"/>
          <w:highlight w:val="none"/>
        </w:rPr>
      </w:pPr>
    </w:p>
    <w:p>
      <w:pPr>
        <w:pStyle w:val="22"/>
        <w:rPr>
          <w:rFonts w:hint="eastAsia" w:asciiTheme="minorEastAsia" w:hAnsiTheme="minorEastAsia"/>
          <w:b/>
          <w:color w:val="auto"/>
          <w:sz w:val="32"/>
          <w:szCs w:val="32"/>
          <w:highlight w:val="none"/>
        </w:rPr>
      </w:pPr>
    </w:p>
    <w:p>
      <w:pPr>
        <w:pStyle w:val="22"/>
        <w:rPr>
          <w:rFonts w:hint="eastAsia" w:asciiTheme="minorEastAsia" w:hAnsiTheme="minorEastAsia"/>
          <w:b/>
          <w:color w:val="auto"/>
          <w:sz w:val="32"/>
          <w:szCs w:val="32"/>
          <w:highlight w:val="none"/>
        </w:rPr>
      </w:pPr>
    </w:p>
    <w:p>
      <w:pPr>
        <w:pStyle w:val="22"/>
        <w:rPr>
          <w:rFonts w:hint="eastAsia" w:asciiTheme="minorEastAsia" w:hAnsiTheme="minorEastAsia"/>
          <w:b/>
          <w:color w:val="auto"/>
          <w:sz w:val="32"/>
          <w:szCs w:val="32"/>
          <w:highlight w:val="none"/>
        </w:rPr>
      </w:pPr>
    </w:p>
    <w:p>
      <w:pPr>
        <w:pStyle w:val="22"/>
        <w:rPr>
          <w:rFonts w:hint="eastAsia" w:asciiTheme="minorEastAsia" w:hAnsiTheme="minorEastAsia"/>
          <w:b/>
          <w:color w:val="auto"/>
          <w:sz w:val="32"/>
          <w:szCs w:val="32"/>
          <w:highlight w:val="none"/>
        </w:rPr>
      </w:pPr>
    </w:p>
    <w:p>
      <w:pPr>
        <w:pStyle w:val="22"/>
        <w:ind w:firstLine="0"/>
        <w:rPr>
          <w:rFonts w:hint="eastAsia"/>
          <w:highlight w:val="none"/>
        </w:rPr>
      </w:pPr>
    </w:p>
    <w:p>
      <w:pPr>
        <w:numPr>
          <w:ilvl w:val="0"/>
          <w:numId w:val="3"/>
        </w:numPr>
        <w:adjustRightInd w:val="0"/>
        <w:snapToGrid w:val="0"/>
        <w:spacing w:beforeLines="50" w:afterLines="50" w:line="500" w:lineRule="exact"/>
        <w:ind w:left="643" w:hanging="643" w:hangingChars="200"/>
        <w:jc w:val="left"/>
        <w:rPr>
          <w:rFonts w:hint="eastAsia" w:asciiTheme="minorEastAsia" w:hAnsiTheme="minorEastAsia"/>
          <w:b/>
          <w:color w:val="auto"/>
          <w:sz w:val="32"/>
          <w:szCs w:val="32"/>
          <w:highlight w:val="none"/>
        </w:rPr>
      </w:pPr>
      <w:r>
        <w:rPr>
          <w:rFonts w:hint="eastAsia" w:asciiTheme="minorEastAsia" w:hAnsiTheme="minorEastAsia"/>
          <w:b/>
          <w:color w:val="auto"/>
          <w:sz w:val="32"/>
          <w:szCs w:val="32"/>
          <w:highlight w:val="none"/>
        </w:rPr>
        <w:t>对供应商的资格要求</w:t>
      </w:r>
      <w:r>
        <w:rPr>
          <w:rFonts w:hint="eastAsia" w:asciiTheme="minorEastAsia" w:hAnsiTheme="minorEastAsia"/>
          <w:b/>
          <w:color w:val="auto"/>
          <w:sz w:val="32"/>
          <w:szCs w:val="32"/>
          <w:highlight w:val="none"/>
          <w:lang w:val="en-US" w:eastAsia="zh-CN"/>
        </w:rPr>
        <w:t>.</w:t>
      </w:r>
    </w:p>
    <w:p>
      <w:pPr>
        <w:pStyle w:val="22"/>
        <w:numPr>
          <w:ilvl w:val="-1"/>
          <w:numId w:val="0"/>
        </w:numPr>
        <w:ind w:firstLine="0"/>
        <w:rPr>
          <w:rFonts w:hint="default" w:eastAsia="等线"/>
          <w:color w:val="auto"/>
          <w:highlight w:val="none"/>
          <w:lang w:val="en-US" w:eastAsia="zh-CN"/>
        </w:rPr>
      </w:pPr>
      <w:r>
        <w:rPr>
          <w:rFonts w:hint="eastAsia"/>
          <w:color w:val="auto"/>
          <w:highlight w:val="none"/>
          <w:lang w:val="en-US" w:eastAsia="zh-CN"/>
        </w:rPr>
        <w:t>详见第一章采购公告（采购邀请书）3.供应商资格要求</w:t>
      </w:r>
    </w:p>
    <w:p>
      <w:pPr>
        <w:adjustRightInd w:val="0"/>
        <w:snapToGrid w:val="0"/>
        <w:spacing w:line="600" w:lineRule="exact"/>
        <w:jc w:val="left"/>
        <w:rPr>
          <w:rFonts w:hint="default" w:ascii="仿宋_GB2312" w:eastAsia="仿宋_GB2312"/>
          <w:color w:val="auto"/>
          <w:sz w:val="28"/>
          <w:szCs w:val="28"/>
          <w:highlight w:val="none"/>
          <w:lang w:val="en-US" w:eastAsia="zh-CN"/>
        </w:rPr>
      </w:pPr>
      <w:r>
        <w:rPr>
          <w:rFonts w:hint="eastAsia" w:asciiTheme="minorEastAsia" w:hAnsiTheme="minorEastAsia"/>
          <w:b/>
          <w:color w:val="auto"/>
          <w:sz w:val="32"/>
          <w:szCs w:val="32"/>
          <w:highlight w:val="none"/>
          <w:lang w:val="en-US" w:eastAsia="zh-CN"/>
        </w:rPr>
        <w:t xml:space="preserve">2.  </w:t>
      </w:r>
      <w:r>
        <w:rPr>
          <w:rFonts w:hint="eastAsia" w:asciiTheme="minorEastAsia" w:hAnsiTheme="minorEastAsia"/>
          <w:b/>
          <w:color w:val="auto"/>
          <w:sz w:val="32"/>
          <w:szCs w:val="32"/>
          <w:highlight w:val="none"/>
        </w:rPr>
        <w:t>本次交易一般规则.</w:t>
      </w:r>
      <w:r>
        <w:rPr>
          <w:rFonts w:ascii="仿宋_GB2312" w:eastAsia="仿宋_GB2312"/>
          <w:color w:val="auto"/>
          <w:sz w:val="28"/>
          <w:szCs w:val="28"/>
          <w:highlight w:val="none"/>
        </w:rPr>
        <w:t>表</w:t>
      </w:r>
      <w:r>
        <w:rPr>
          <w:rFonts w:hint="eastAsia" w:ascii="仿宋_GB2312" w:eastAsia="仿宋_GB2312"/>
          <w:color w:val="auto"/>
          <w:sz w:val="28"/>
          <w:szCs w:val="28"/>
          <w:highlight w:val="none"/>
          <w:lang w:val="en-US" w:eastAsia="zh-CN"/>
        </w:rPr>
        <w:t>1.1</w:t>
      </w:r>
    </w:p>
    <w:tbl>
      <w:tblPr>
        <w:tblStyle w:val="24"/>
        <w:tblW w:w="91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5"/>
        <w:gridCol w:w="936"/>
        <w:gridCol w:w="1263"/>
        <w:gridCol w:w="5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blHeader/>
        </w:trPr>
        <w:tc>
          <w:tcPr>
            <w:tcW w:w="925" w:type="dxa"/>
            <w:tcBorders>
              <w:left w:val="nil"/>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阶段</w:t>
            </w:r>
          </w:p>
        </w:tc>
        <w:tc>
          <w:tcPr>
            <w:tcW w:w="936"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条款</w:t>
            </w:r>
          </w:p>
        </w:tc>
        <w:tc>
          <w:tcPr>
            <w:tcW w:w="1263"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项目</w:t>
            </w:r>
          </w:p>
        </w:tc>
        <w:tc>
          <w:tcPr>
            <w:tcW w:w="5979" w:type="dxa"/>
            <w:tcBorders>
              <w:righ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准备</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及其</w:t>
            </w:r>
          </w:p>
          <w:p>
            <w:pPr>
              <w:jc w:val="center"/>
              <w:rPr>
                <w:rFonts w:ascii="仿宋_GB2312" w:eastAsia="仿宋_GB2312"/>
                <w:color w:val="auto"/>
                <w:sz w:val="24"/>
                <w:szCs w:val="24"/>
                <w:highlight w:val="none"/>
              </w:rPr>
            </w:pPr>
            <w:r>
              <w:rPr>
                <w:rFonts w:ascii="仿宋_GB2312" w:eastAsia="仿宋_GB2312"/>
                <w:color w:val="auto"/>
                <w:sz w:val="24"/>
                <w:szCs w:val="24"/>
                <w:highlight w:val="none"/>
              </w:rPr>
              <w:t>响应</w:t>
            </w: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采购文件组成</w:t>
            </w:r>
          </w:p>
        </w:tc>
        <w:tc>
          <w:tcPr>
            <w:tcW w:w="5979" w:type="dxa"/>
            <w:tcBorders>
              <w:right w:val="nil"/>
            </w:tcBorders>
            <w:vAlign w:val="center"/>
          </w:tcPr>
          <w:p>
            <w:pPr>
              <w:adjustRightInd w:val="0"/>
              <w:snapToGrid w:val="0"/>
              <w:jc w:val="left"/>
              <w:rPr>
                <w:rFonts w:hint="default" w:ascii="仿宋_GB2312" w:eastAsia="仿宋_GB2312"/>
                <w:color w:val="auto"/>
                <w:sz w:val="24"/>
                <w:szCs w:val="24"/>
                <w:highlight w:val="none"/>
                <w:lang w:val="en-US" w:eastAsia="zh-CN"/>
              </w:rPr>
            </w:pP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采购公告（采购邀请书）</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（2）供应商须知</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（3）采购方式</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w:t>
            </w:r>
            <w:r>
              <w:rPr>
                <w:rFonts w:ascii="仿宋_GB2312" w:eastAsia="仿宋_GB2312"/>
                <w:color w:val="auto"/>
                <w:sz w:val="24"/>
                <w:szCs w:val="24"/>
                <w:highlight w:val="none"/>
              </w:rPr>
              <w:t>4</w:t>
            </w:r>
            <w:r>
              <w:rPr>
                <w:rFonts w:hint="eastAsia" w:ascii="仿宋_GB2312" w:eastAsia="仿宋_GB2312"/>
                <w:color w:val="auto"/>
                <w:sz w:val="24"/>
                <w:szCs w:val="24"/>
                <w:highlight w:val="none"/>
              </w:rPr>
              <w:t>）评审办法</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（5）采购需求</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（6）合同草案</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（7）响应文件</w:t>
            </w:r>
          </w:p>
          <w:p>
            <w:pPr>
              <w:adjustRightInd w:val="0"/>
              <w:snapToGrid w:val="0"/>
              <w:jc w:val="left"/>
              <w:rPr>
                <w:rFonts w:hint="default" w:ascii="仿宋_GB2312" w:eastAsia="仿宋_GB2312"/>
                <w:color w:val="auto"/>
                <w:sz w:val="24"/>
                <w:szCs w:val="24"/>
                <w:highlight w:val="none"/>
                <w:lang w:val="en-US" w:eastAsia="zh-CN"/>
              </w:rPr>
            </w:pPr>
            <w:r>
              <w:rPr>
                <w:rFonts w:hint="eastAsia" w:ascii="仿宋_GB2312" w:eastAsia="仿宋_GB2312"/>
                <w:color w:val="auto"/>
                <w:sz w:val="24"/>
                <w:szCs w:val="24"/>
                <w:highlight w:val="none"/>
              </w:rPr>
              <w:t>（8）在采购过程中由采购单位发出的修正和补充文件等</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lang w:val="en-US" w:eastAsia="zh-CN"/>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925" w:type="dxa"/>
            <w:vMerge w:val="continue"/>
            <w:tcBorders>
              <w:left w:val="nil"/>
            </w:tcBorders>
            <w:vAlign w:val="center"/>
          </w:tcPr>
          <w:p>
            <w:pPr>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.2</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采购文件的澄清和修改</w:t>
            </w:r>
          </w:p>
        </w:tc>
        <w:tc>
          <w:tcPr>
            <w:tcW w:w="5979" w:type="dxa"/>
            <w:tcBorders>
              <w:right w:val="nil"/>
            </w:tcBorders>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1</w:t>
            </w:r>
            <w:r>
              <w:rPr>
                <w:rFonts w:hint="eastAsia" w:ascii="仿宋_GB2312" w:eastAsia="仿宋_GB2312"/>
                <w:color w:val="auto"/>
                <w:sz w:val="24"/>
                <w:szCs w:val="24"/>
                <w:highlight w:val="none"/>
              </w:rPr>
              <w:t>.2.1供应商对采购文件有疑问的，应当</w:t>
            </w:r>
            <w:r>
              <w:rPr>
                <w:rFonts w:ascii="仿宋_GB2312" w:eastAsia="仿宋_GB2312"/>
                <w:color w:val="auto"/>
                <w:sz w:val="24"/>
                <w:szCs w:val="24"/>
                <w:highlight w:val="none"/>
              </w:rPr>
              <w:t>在提交</w:t>
            </w:r>
            <w:r>
              <w:rPr>
                <w:rFonts w:hint="eastAsia" w:ascii="仿宋_GB2312" w:eastAsia="仿宋_GB2312"/>
                <w:color w:val="auto"/>
                <w:sz w:val="24"/>
                <w:szCs w:val="24"/>
                <w:highlight w:val="none"/>
              </w:rPr>
              <w:t>响应文件截止之日</w:t>
            </w:r>
            <w:r>
              <w:rPr>
                <w:rFonts w:hint="eastAsia" w:ascii="仿宋_GB2312" w:eastAsia="仿宋_GB2312"/>
                <w:color w:val="auto"/>
                <w:sz w:val="24"/>
                <w:szCs w:val="24"/>
                <w:highlight w:val="none"/>
                <w:u w:val="single"/>
                <w:lang w:val="en-US" w:eastAsia="zh-CN"/>
              </w:rPr>
              <w:t>2</w:t>
            </w:r>
            <w:r>
              <w:rPr>
                <w:rFonts w:ascii="仿宋_GB2312" w:eastAsia="仿宋_GB2312"/>
                <w:color w:val="auto"/>
                <w:sz w:val="24"/>
                <w:szCs w:val="24"/>
                <w:highlight w:val="none"/>
              </w:rPr>
              <w:t>个工作日前</w:t>
            </w:r>
            <w:r>
              <w:rPr>
                <w:rFonts w:hint="eastAsia" w:ascii="仿宋_GB2312" w:eastAsia="仿宋_GB2312"/>
                <w:color w:val="auto"/>
                <w:sz w:val="24"/>
                <w:szCs w:val="24"/>
                <w:highlight w:val="none"/>
              </w:rPr>
              <w:t>，以书面形式提出。</w:t>
            </w:r>
          </w:p>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lang w:val="en-US" w:eastAsia="zh-CN"/>
              </w:rPr>
              <w:t>1</w:t>
            </w:r>
            <w:r>
              <w:rPr>
                <w:rFonts w:hint="eastAsia" w:ascii="仿宋_GB2312" w:eastAsia="仿宋_GB2312" w:hAnsiTheme="minorEastAsia"/>
                <w:color w:val="auto"/>
                <w:sz w:val="24"/>
                <w:szCs w:val="24"/>
                <w:highlight w:val="none"/>
              </w:rPr>
              <w:t>.2.2采购人可根据供应商的要求或主动对采购文件进行澄清和修改。澄清或修改的内容以补充文件形式发布，采购人可视具体情况在补充文件中通知供应商推迟递交响应文件的截止时间。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5" w:type="dxa"/>
            <w:vMerge w:val="continue"/>
            <w:tcBorders>
              <w:left w:val="nil"/>
            </w:tcBorders>
            <w:vAlign w:val="center"/>
          </w:tcPr>
          <w:p>
            <w:pPr>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.3</w:t>
            </w:r>
          </w:p>
          <w:p>
            <w:pPr>
              <w:adjustRightInd w:val="0"/>
              <w:snapToGrid w:val="0"/>
              <w:jc w:val="center"/>
              <w:rPr>
                <w:color w:val="auto"/>
                <w:sz w:val="24"/>
                <w:szCs w:val="24"/>
                <w:highlight w:val="none"/>
              </w:rPr>
            </w:pPr>
          </w:p>
        </w:tc>
        <w:tc>
          <w:tcPr>
            <w:tcW w:w="1263" w:type="dxa"/>
            <w:vAlign w:val="center"/>
          </w:tcPr>
          <w:p>
            <w:pPr>
              <w:adjustRightInd w:val="0"/>
              <w:snapToGrid w:val="0"/>
              <w:jc w:val="left"/>
              <w:rPr>
                <w:rFonts w:hint="eastAsia"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踏勘现场</w:t>
            </w:r>
          </w:p>
        </w:tc>
        <w:tc>
          <w:tcPr>
            <w:tcW w:w="5979" w:type="dxa"/>
            <w:tcBorders>
              <w:right w:val="nil"/>
            </w:tcBorders>
            <w:vAlign w:val="center"/>
          </w:tcPr>
          <w:p>
            <w:pPr>
              <w:adjustRightInd w:val="0"/>
              <w:snapToGrid w:val="0"/>
              <w:ind w:left="0" w:leftChars="0" w:firstLine="0" w:firstLineChars="0"/>
              <w:rPr>
                <w:rFonts w:hint="eastAsia"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lang w:val="en-US" w:eastAsia="zh-CN"/>
              </w:rPr>
              <w:t>详见采购公告（采购邀请书）5.踏勘现场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5" w:type="dxa"/>
            <w:vMerge w:val="continue"/>
            <w:tcBorders>
              <w:left w:val="nil"/>
            </w:tcBorders>
            <w:vAlign w:val="center"/>
          </w:tcPr>
          <w:p>
            <w:pPr>
              <w:jc w:val="center"/>
              <w:rPr>
                <w:rFonts w:ascii="Calibri" w:hAnsi="Calibri" w:eastAsia="宋体" w:cs="Times New Roman"/>
                <w:b/>
                <w:bCs/>
                <w:color w:val="auto"/>
                <w:sz w:val="24"/>
                <w:szCs w:val="24"/>
                <w:highlight w:val="none"/>
              </w:rPr>
            </w:pP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2.4</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分包</w:t>
            </w:r>
          </w:p>
        </w:tc>
        <w:tc>
          <w:tcPr>
            <w:tcW w:w="5979" w:type="dxa"/>
            <w:tcBorders>
              <w:right w:val="nil"/>
            </w:tcBorders>
            <w:vAlign w:val="center"/>
          </w:tcPr>
          <w:p>
            <w:pPr>
              <w:adjustRightInd w:val="0"/>
              <w:snapToGrid w:val="0"/>
              <w:ind w:firstLine="0" w:firstLineChars="0"/>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lang w:val="en-US" w:eastAsia="zh-CN"/>
              </w:rPr>
              <w:t>本项目</w:t>
            </w:r>
            <w:r>
              <w:rPr>
                <w:rFonts w:hint="eastAsia" w:ascii="仿宋_GB2312" w:eastAsia="仿宋_GB2312"/>
                <w:color w:val="auto"/>
                <w:sz w:val="24"/>
                <w:szCs w:val="24"/>
                <w:highlight w:val="none"/>
              </w:rPr>
              <w:t>不允许</w:t>
            </w:r>
            <w:r>
              <w:rPr>
                <w:rFonts w:hint="eastAsia" w:ascii="仿宋_GB2312" w:eastAsia="仿宋_GB2312"/>
                <w:color w:val="auto"/>
                <w:sz w:val="24"/>
                <w:szCs w:val="24"/>
                <w:highlight w:val="none"/>
                <w:lang w:val="en-US" w:eastAsia="zh-CN"/>
              </w:rPr>
              <w:t>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25" w:type="dxa"/>
            <w:vMerge w:val="continue"/>
            <w:tcBorders>
              <w:left w:val="nil"/>
            </w:tcBorders>
            <w:vAlign w:val="center"/>
          </w:tcPr>
          <w:p>
            <w:pPr>
              <w:jc w:val="center"/>
              <w:rPr>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.5</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响应截止时间</w:t>
            </w:r>
          </w:p>
        </w:tc>
        <w:tc>
          <w:tcPr>
            <w:tcW w:w="5979" w:type="dxa"/>
            <w:tcBorders>
              <w:right w:val="nil"/>
            </w:tcBorders>
            <w:vAlign w:val="center"/>
          </w:tcPr>
          <w:p>
            <w:pPr>
              <w:adjustRightInd w:val="0"/>
              <w:snapToGrid w:val="0"/>
              <w:jc w:val="left"/>
              <w:rPr>
                <w:rFonts w:hint="eastAsia" w:ascii="仿宋_GB2312" w:eastAsia="仿宋_GB2312" w:hAnsiTheme="minorEastAsia"/>
                <w:color w:val="auto"/>
                <w:sz w:val="24"/>
                <w:szCs w:val="24"/>
                <w:highlight w:val="none"/>
                <w:u w:val="none"/>
                <w:lang w:eastAsia="zh-CN"/>
              </w:rPr>
            </w:pPr>
            <w:r>
              <w:rPr>
                <w:rFonts w:hint="eastAsia" w:ascii="仿宋_GB2312" w:eastAsia="仿宋_GB2312" w:hAnsiTheme="minorEastAsia"/>
                <w:color w:val="auto"/>
                <w:sz w:val="24"/>
                <w:szCs w:val="24"/>
                <w:highlight w:val="none"/>
                <w:lang w:val="en-US" w:eastAsia="zh-CN"/>
              </w:rPr>
              <w:t>详</w:t>
            </w:r>
            <w:r>
              <w:rPr>
                <w:rFonts w:hint="eastAsia" w:ascii="仿宋_GB2312" w:eastAsia="仿宋_GB2312" w:hAnsiTheme="minorEastAsia"/>
                <w:color w:val="auto"/>
                <w:sz w:val="24"/>
                <w:szCs w:val="24"/>
                <w:highlight w:val="none"/>
              </w:rPr>
              <w:t>见采购</w:t>
            </w:r>
            <w:r>
              <w:rPr>
                <w:rFonts w:hint="eastAsia" w:ascii="仿宋_GB2312" w:eastAsia="仿宋_GB2312" w:hAnsiTheme="minorEastAsia"/>
                <w:color w:val="auto"/>
                <w:sz w:val="24"/>
                <w:szCs w:val="24"/>
                <w:highlight w:val="none"/>
                <w:lang w:val="en-US" w:eastAsia="zh-CN"/>
              </w:rPr>
              <w:t>公告（采购邀请书）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准备</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及其</w:t>
            </w:r>
          </w:p>
          <w:p>
            <w:pPr>
              <w:jc w:val="center"/>
              <w:rPr>
                <w:color w:val="auto"/>
                <w:sz w:val="24"/>
                <w:szCs w:val="24"/>
                <w:highlight w:val="none"/>
              </w:rPr>
            </w:pPr>
            <w:r>
              <w:rPr>
                <w:rFonts w:ascii="仿宋_GB2312" w:eastAsia="仿宋_GB2312"/>
                <w:color w:val="auto"/>
                <w:sz w:val="24"/>
                <w:szCs w:val="24"/>
                <w:highlight w:val="none"/>
              </w:rPr>
              <w:t>响应</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.6</w:t>
            </w:r>
          </w:p>
        </w:tc>
        <w:tc>
          <w:tcPr>
            <w:tcW w:w="1263" w:type="dxa"/>
            <w:vAlign w:val="center"/>
          </w:tcPr>
          <w:p>
            <w:pPr>
              <w:adjustRightInd w:val="0"/>
              <w:snapToGrid w:val="0"/>
              <w:jc w:val="center"/>
              <w:rPr>
                <w:rFonts w:hint="default" w:ascii="仿宋_GB2312" w:eastAsia="仿宋_GB2312"/>
                <w:color w:val="auto"/>
                <w:sz w:val="24"/>
                <w:szCs w:val="24"/>
                <w:highlight w:val="none"/>
                <w:lang w:val="en-US" w:eastAsia="zh-CN"/>
              </w:rPr>
            </w:pPr>
            <w:r>
              <w:rPr>
                <w:rFonts w:hint="eastAsia" w:ascii="仿宋_GB2312" w:eastAsia="仿宋_GB2312"/>
                <w:color w:val="auto"/>
                <w:sz w:val="24"/>
                <w:szCs w:val="24"/>
                <w:highlight w:val="none"/>
              </w:rPr>
              <w:t>最高限价</w:t>
            </w:r>
            <w:r>
              <w:rPr>
                <w:rFonts w:hint="eastAsia" w:ascii="仿宋_GB2312" w:eastAsia="仿宋_GB2312"/>
                <w:color w:val="auto"/>
                <w:sz w:val="24"/>
                <w:szCs w:val="24"/>
                <w:highlight w:val="none"/>
                <w:lang w:val="en-US" w:eastAsia="zh-CN"/>
              </w:rPr>
              <w:t>及低价说明</w:t>
            </w:r>
          </w:p>
        </w:tc>
        <w:tc>
          <w:tcPr>
            <w:tcW w:w="5979" w:type="dxa"/>
            <w:tcBorders>
              <w:right w:val="nil"/>
            </w:tcBorders>
            <w:vAlign w:val="center"/>
          </w:tcPr>
          <w:p>
            <w:pPr>
              <w:adjustRightInd w:val="0"/>
              <w:snapToGrid w:val="0"/>
              <w:ind w:firstLine="0" w:firstLineChars="0"/>
              <w:jc w:val="left"/>
              <w:rPr>
                <w:rFonts w:hint="default" w:ascii="仿宋_GB2312" w:eastAsia="仿宋_GB2312" w:hAnsiTheme="minorEastAsia"/>
                <w:color w:val="auto"/>
                <w:sz w:val="24"/>
                <w:szCs w:val="24"/>
                <w:highlight w:val="none"/>
                <w:lang w:val="en-US" w:eastAsia="zh-CN"/>
              </w:rPr>
            </w:pPr>
            <w:r>
              <w:rPr>
                <w:rFonts w:hint="eastAsia" w:ascii="仿宋_GB2312" w:eastAsia="仿宋_GB2312" w:hAnsiTheme="minorEastAsia"/>
                <w:color w:val="auto"/>
                <w:sz w:val="24"/>
                <w:szCs w:val="24"/>
                <w:highlight w:val="none"/>
                <w:lang w:val="en-US" w:eastAsia="zh-CN"/>
              </w:rPr>
              <w:t>详见采购公告（采购邀请书）；若报价低于本项目最高限价的60%，必须说明报价理由。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925" w:type="dxa"/>
            <w:vMerge w:val="continue"/>
            <w:tcBorders>
              <w:left w:val="nil"/>
            </w:tcBorders>
            <w:vAlign w:val="center"/>
          </w:tcPr>
          <w:p>
            <w:pPr>
              <w:jc w:val="center"/>
              <w:rPr>
                <w:color w:val="auto"/>
                <w:sz w:val="24"/>
                <w:szCs w:val="24"/>
                <w:highlight w:val="none"/>
              </w:rPr>
            </w:pPr>
          </w:p>
        </w:tc>
        <w:tc>
          <w:tcPr>
            <w:tcW w:w="936" w:type="dxa"/>
            <w:vAlign w:val="center"/>
          </w:tcPr>
          <w:p>
            <w:pPr>
              <w:adjustRightInd w:val="0"/>
              <w:snapToGrid w:val="0"/>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.7</w:t>
            </w:r>
          </w:p>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响应文件有效期</w:t>
            </w:r>
          </w:p>
        </w:tc>
        <w:tc>
          <w:tcPr>
            <w:tcW w:w="5979" w:type="dxa"/>
            <w:tcBorders>
              <w:right w:val="nil"/>
            </w:tcBorders>
            <w:vAlign w:val="center"/>
          </w:tcPr>
          <w:p>
            <w:pPr>
              <w:adjustRightInd w:val="0"/>
              <w:snapToGrid w:val="0"/>
              <w:ind w:firstLine="480" w:firstLineChars="200"/>
              <w:rPr>
                <w:rFonts w:ascii="仿宋_GB2312" w:eastAsia="仿宋_GB2312" w:hAnsiTheme="minorEastAsia"/>
                <w:color w:val="auto"/>
                <w:sz w:val="24"/>
                <w:szCs w:val="24"/>
                <w:highlight w:val="none"/>
                <w:u w:val="single"/>
              </w:rPr>
            </w:pPr>
            <w:r>
              <w:rPr>
                <w:rFonts w:hint="eastAsia" w:ascii="仿宋_GB2312" w:eastAsia="仿宋_GB2312" w:hAnsiTheme="minorEastAsia"/>
                <w:color w:val="auto"/>
                <w:sz w:val="24"/>
                <w:szCs w:val="24"/>
                <w:highlight w:val="none"/>
                <w:u w:val="single"/>
                <w:lang w:val="en-US" w:eastAsia="zh-CN"/>
              </w:rPr>
              <w:t>90个</w:t>
            </w:r>
            <w:r>
              <w:rPr>
                <w:rFonts w:hint="eastAsia" w:ascii="仿宋_GB2312" w:eastAsia="仿宋_GB2312" w:hAnsiTheme="minorEastAsia"/>
                <w:color w:val="auto"/>
                <w:sz w:val="24"/>
                <w:szCs w:val="24"/>
                <w:highlight w:val="none"/>
              </w:rPr>
              <w:t>日历天（从响应文件递交截止日算起）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准备</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及其</w:t>
            </w:r>
          </w:p>
          <w:p>
            <w:pPr>
              <w:adjustRightInd w:val="0"/>
              <w:snapToGrid w:val="0"/>
              <w:jc w:val="center"/>
              <w:rPr>
                <w:color w:val="auto"/>
                <w:sz w:val="24"/>
                <w:szCs w:val="24"/>
                <w:highlight w:val="none"/>
              </w:rPr>
            </w:pPr>
            <w:r>
              <w:rPr>
                <w:rFonts w:ascii="仿宋_GB2312" w:eastAsia="仿宋_GB2312"/>
                <w:color w:val="auto"/>
                <w:sz w:val="24"/>
                <w:szCs w:val="24"/>
                <w:highlight w:val="none"/>
              </w:rPr>
              <w:t>响应</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2.8</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响应文件份数</w:t>
            </w:r>
          </w:p>
        </w:tc>
        <w:tc>
          <w:tcPr>
            <w:tcW w:w="5979" w:type="dxa"/>
            <w:tcBorders>
              <w:right w:val="nil"/>
            </w:tcBorders>
            <w:vAlign w:val="center"/>
          </w:tcPr>
          <w:p>
            <w:pPr>
              <w:adjustRightInd w:val="0"/>
              <w:snapToGrid w:val="0"/>
              <w:rPr>
                <w:rFonts w:hint="default" w:ascii="仿宋_GB2312" w:eastAsia="仿宋_GB2312" w:hAnsiTheme="minorEastAsia"/>
                <w:color w:val="auto"/>
                <w:sz w:val="24"/>
                <w:szCs w:val="24"/>
                <w:highlight w:val="none"/>
                <w:lang w:val="en-US" w:eastAsia="zh-CN"/>
              </w:rPr>
            </w:pPr>
            <w:r>
              <w:rPr>
                <w:rFonts w:hint="eastAsia" w:ascii="仿宋_GB2312" w:eastAsia="仿宋_GB2312" w:hAnsiTheme="minorEastAsia"/>
                <w:color w:val="auto"/>
                <w:sz w:val="24"/>
                <w:szCs w:val="24"/>
                <w:highlight w:val="none"/>
              </w:rPr>
              <w:t xml:space="preserve">纸质文件正本1份，副本 </w:t>
            </w:r>
            <w:r>
              <w:rPr>
                <w:rFonts w:hint="eastAsia" w:ascii="仿宋_GB2312" w:eastAsia="仿宋_GB2312" w:hAnsiTheme="minorEastAsia"/>
                <w:color w:val="auto"/>
                <w:sz w:val="24"/>
                <w:szCs w:val="24"/>
                <w:highlight w:val="none"/>
                <w:u w:val="single"/>
                <w:lang w:val="en-US" w:eastAsia="zh-CN"/>
              </w:rPr>
              <w:t>6</w:t>
            </w:r>
            <w:r>
              <w:rPr>
                <w:rFonts w:hint="eastAsia" w:ascii="仿宋_GB2312" w:eastAsia="仿宋_GB2312" w:hAnsiTheme="minorEastAsia"/>
                <w:color w:val="auto"/>
                <w:sz w:val="24"/>
                <w:szCs w:val="24"/>
                <w:highlight w:val="none"/>
              </w:rPr>
              <w:t>份</w:t>
            </w:r>
            <w:r>
              <w:rPr>
                <w:rFonts w:hint="eastAsia" w:ascii="仿宋_GB2312" w:eastAsia="仿宋_GB2312" w:hAnsiTheme="minorEastAsia"/>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.9</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响应文件的密封和标记</w:t>
            </w:r>
          </w:p>
        </w:tc>
        <w:tc>
          <w:tcPr>
            <w:tcW w:w="5979" w:type="dxa"/>
            <w:tcBorders>
              <w:right w:val="nil"/>
            </w:tcBorders>
            <w:vAlign w:val="center"/>
          </w:tcPr>
          <w:p>
            <w:pPr>
              <w:adjustRightInd w:val="0"/>
              <w:snapToGrid w:val="0"/>
              <w:ind w:firstLine="465"/>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要求密封，响应文件应在密封处加盖公章，标注正本和副本，封皮应注明：</w:t>
            </w:r>
          </w:p>
          <w:p>
            <w:pPr>
              <w:adjustRightInd w:val="0"/>
              <w:snapToGrid w:val="0"/>
              <w:ind w:firstLine="465" w:firstLineChars="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项目名称</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供应商名称</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供应商地址</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联系人及其联系方式</w:t>
            </w:r>
            <w:r>
              <w:rPr>
                <w:rFonts w:hint="eastAsia" w:ascii="仿宋_GB2312" w:eastAsia="仿宋_GB2312" w:hAnsiTheme="minorEastAsia"/>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.10</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响应文件提交</w:t>
            </w:r>
          </w:p>
        </w:tc>
        <w:tc>
          <w:tcPr>
            <w:tcW w:w="5979" w:type="dxa"/>
            <w:tcBorders>
              <w:right w:val="nil"/>
            </w:tcBorders>
            <w:vAlign w:val="center"/>
          </w:tcPr>
          <w:p>
            <w:pPr>
              <w:adjustRightInd w:val="0"/>
              <w:snapToGrid w:val="0"/>
              <w:ind w:left="480" w:hanging="480" w:hangingChars="200"/>
              <w:rPr>
                <w:rFonts w:hint="eastAsia" w:ascii="仿宋_GB2312" w:eastAsia="仿宋_GB2312" w:hAnsiTheme="minorEastAsia"/>
                <w:color w:val="auto"/>
                <w:sz w:val="24"/>
                <w:szCs w:val="24"/>
                <w:highlight w:val="none"/>
                <w:lang w:eastAsia="zh-CN"/>
              </w:rPr>
            </w:pPr>
            <w:r>
              <w:rPr>
                <w:rFonts w:hint="eastAsia" w:ascii="仿宋_GB2312" w:eastAsia="仿宋_GB2312" w:hAnsiTheme="minorEastAsia"/>
                <w:color w:val="auto"/>
                <w:sz w:val="24"/>
                <w:szCs w:val="24"/>
                <w:highlight w:val="none"/>
                <w:lang w:eastAsia="zh-CN"/>
              </w:rPr>
              <w:t>见采购</w:t>
            </w:r>
            <w:r>
              <w:rPr>
                <w:rFonts w:hint="eastAsia" w:ascii="仿宋_GB2312" w:eastAsia="仿宋_GB2312" w:hAnsiTheme="minorEastAsia"/>
                <w:color w:val="auto"/>
                <w:sz w:val="24"/>
                <w:szCs w:val="24"/>
                <w:highlight w:val="none"/>
                <w:lang w:val="en-US" w:eastAsia="zh-CN"/>
              </w:rPr>
              <w:t>公告（采购邀请书）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文件开启及评审</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.11</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响应文件开启会议</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举行</w:t>
            </w:r>
          </w:p>
          <w:p>
            <w:pPr>
              <w:adjustRightInd w:val="0"/>
              <w:snapToGrid w:val="0"/>
              <w:ind w:firstLine="465"/>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会议时间：同响应截止时间</w:t>
            </w:r>
          </w:p>
          <w:p>
            <w:pPr>
              <w:adjustRightInd w:val="0"/>
              <w:snapToGrid w:val="0"/>
              <w:ind w:firstLine="465"/>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会议地点：</w:t>
            </w:r>
            <w:r>
              <w:rPr>
                <w:rFonts w:hint="eastAsia" w:ascii="仿宋_GB2312" w:eastAsia="仿宋_GB2312" w:hAnsiTheme="minorEastAsia"/>
                <w:color w:val="auto"/>
                <w:sz w:val="24"/>
                <w:szCs w:val="24"/>
                <w:highlight w:val="none"/>
                <w:lang w:val="en-US" w:eastAsia="zh-CN"/>
              </w:rPr>
              <w:t>采购公告（采购邀请书）</w:t>
            </w:r>
            <w:r>
              <w:rPr>
                <w:rFonts w:hint="eastAsia" w:ascii="仿宋_GB2312" w:eastAsia="仿宋_GB2312" w:hAnsiTheme="minorEastAsia"/>
                <w:color w:val="auto"/>
                <w:sz w:val="24"/>
                <w:szCs w:val="24"/>
                <w:highlight w:val="none"/>
              </w:rPr>
              <w:t>中指定地点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.12</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开启文件前的密封检查</w:t>
            </w:r>
          </w:p>
        </w:tc>
        <w:tc>
          <w:tcPr>
            <w:tcW w:w="5979" w:type="dxa"/>
            <w:tcBorders>
              <w:right w:val="nil"/>
            </w:tcBorders>
            <w:vAlign w:val="center"/>
          </w:tcPr>
          <w:p>
            <w:pPr>
              <w:adjustRightInd w:val="0"/>
              <w:snapToGrid w:val="0"/>
              <w:ind w:firstLine="465" w:firstLineChars="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密封情况检查顺序：</w:t>
            </w:r>
            <w:r>
              <w:rPr>
                <w:rFonts w:hint="eastAsia" w:ascii="仿宋_GB2312" w:eastAsia="仿宋_GB2312" w:hAnsiTheme="minorEastAsia"/>
                <w:color w:val="auto"/>
                <w:sz w:val="24"/>
                <w:szCs w:val="24"/>
                <w:highlight w:val="none"/>
                <w:u w:val="none"/>
                <w:lang w:val="en-US" w:eastAsia="zh-CN"/>
              </w:rPr>
              <w:t>响应文件拆封前检查，不按照采购文件要求密封的响应文件，采购人将予以拒收。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.13</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评审小组</w:t>
            </w:r>
          </w:p>
        </w:tc>
        <w:tc>
          <w:tcPr>
            <w:tcW w:w="5979" w:type="dxa"/>
            <w:tcBorders>
              <w:right w:val="nil"/>
            </w:tcBorders>
            <w:vAlign w:val="center"/>
          </w:tcPr>
          <w:p>
            <w:pPr>
              <w:adjustRightInd w:val="0"/>
              <w:snapToGrid w:val="0"/>
              <w:ind w:firstLine="0" w:firstLineChars="0"/>
              <w:rPr>
                <w:rFonts w:hint="eastAsia" w:ascii="仿宋_GB2312" w:eastAsia="仿宋_GB2312" w:hAnsiTheme="minorEastAsia"/>
                <w:color w:val="auto"/>
                <w:sz w:val="24"/>
                <w:szCs w:val="24"/>
                <w:highlight w:val="none"/>
                <w:lang w:eastAsia="zh-CN"/>
              </w:rPr>
            </w:pPr>
            <w:r>
              <w:rPr>
                <w:rFonts w:hint="eastAsia" w:ascii="仿宋_GB2312" w:eastAsia="仿宋_GB2312" w:hAnsiTheme="minorEastAsia"/>
                <w:color w:val="auto"/>
                <w:sz w:val="24"/>
                <w:szCs w:val="24"/>
                <w:highlight w:val="none"/>
              </w:rPr>
              <w:t>评审小组构成：</w:t>
            </w:r>
            <w:r>
              <w:rPr>
                <w:rFonts w:hint="eastAsia" w:ascii="仿宋_GB2312" w:eastAsia="仿宋_GB2312" w:hAnsiTheme="minorEastAsia"/>
                <w:color w:val="auto"/>
                <w:sz w:val="24"/>
                <w:szCs w:val="24"/>
                <w:highlight w:val="none"/>
                <w:u w:val="single"/>
                <w:lang w:val="en-US" w:eastAsia="zh-CN"/>
              </w:rPr>
              <w:t>5</w:t>
            </w:r>
            <w:r>
              <w:rPr>
                <w:rFonts w:hint="eastAsia" w:ascii="仿宋_GB2312" w:eastAsia="仿宋_GB2312" w:hAnsiTheme="minorEastAsia"/>
                <w:color w:val="auto"/>
                <w:sz w:val="24"/>
                <w:szCs w:val="24"/>
                <w:highlight w:val="none"/>
              </w:rPr>
              <w:t>人</w:t>
            </w:r>
            <w:r>
              <w:rPr>
                <w:rFonts w:hint="eastAsia" w:ascii="仿宋_GB2312" w:eastAsia="仿宋_GB2312" w:hAnsiTheme="minorEastAsia"/>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.14</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评审办法</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见第</w:t>
            </w:r>
            <w:r>
              <w:rPr>
                <w:rFonts w:hint="eastAsia" w:ascii="仿宋_GB2312" w:eastAsia="仿宋_GB2312" w:hAnsiTheme="minorEastAsia"/>
                <w:color w:val="auto"/>
                <w:sz w:val="24"/>
                <w:szCs w:val="24"/>
                <w:highlight w:val="none"/>
                <w:lang w:val="en-US" w:eastAsia="zh-CN"/>
              </w:rPr>
              <w:t>四</w:t>
            </w:r>
            <w:r>
              <w:rPr>
                <w:rFonts w:hint="eastAsia" w:ascii="仿宋_GB2312" w:eastAsia="仿宋_GB2312" w:hAnsiTheme="minorEastAsia"/>
                <w:color w:val="auto"/>
                <w:sz w:val="24"/>
                <w:szCs w:val="24"/>
                <w:highlight w:val="none"/>
              </w:rPr>
              <w:t>章评审办法有关条款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.15</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成交候选人</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在</w:t>
            </w:r>
            <w:r>
              <w:rPr>
                <w:rFonts w:hint="eastAsia" w:ascii="仿宋_GB2312" w:eastAsia="仿宋_GB2312" w:hAnsiTheme="minorEastAsia"/>
                <w:color w:val="auto"/>
                <w:sz w:val="24"/>
                <w:szCs w:val="24"/>
                <w:highlight w:val="none"/>
                <w:u w:val="single"/>
                <w:lang w:val="en-US" w:eastAsia="zh-CN"/>
              </w:rPr>
              <w:t>广州市净水有限公司门户网站</w:t>
            </w:r>
            <w:r>
              <w:rPr>
                <w:rFonts w:hint="eastAsia" w:ascii="仿宋_GB2312" w:eastAsia="仿宋_GB2312" w:hAnsiTheme="minorEastAsia"/>
                <w:color w:val="auto"/>
                <w:sz w:val="24"/>
                <w:szCs w:val="24"/>
                <w:highlight w:val="none"/>
              </w:rPr>
              <w:t>公示成交候选人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确定成交人</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.16</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成交办法</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见第</w:t>
            </w:r>
            <w:r>
              <w:rPr>
                <w:rFonts w:hint="eastAsia" w:ascii="仿宋_GB2312" w:eastAsia="仿宋_GB2312" w:hAnsiTheme="minorEastAsia"/>
                <w:color w:val="auto"/>
                <w:sz w:val="24"/>
                <w:szCs w:val="24"/>
                <w:highlight w:val="none"/>
                <w:lang w:val="en-US" w:eastAsia="zh-CN"/>
              </w:rPr>
              <w:t>四</w:t>
            </w:r>
            <w:r>
              <w:rPr>
                <w:rFonts w:hint="eastAsia" w:ascii="仿宋_GB2312" w:eastAsia="仿宋_GB2312" w:hAnsiTheme="minorEastAsia"/>
                <w:color w:val="auto"/>
                <w:sz w:val="24"/>
                <w:szCs w:val="24"/>
                <w:highlight w:val="none"/>
              </w:rPr>
              <w:t>章采购方法有关条款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.17</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签订合同</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见第</w:t>
            </w:r>
            <w:r>
              <w:rPr>
                <w:rFonts w:hint="eastAsia" w:ascii="仿宋_GB2312" w:eastAsia="仿宋_GB2312" w:hAnsiTheme="minorEastAsia"/>
                <w:color w:val="auto"/>
                <w:sz w:val="24"/>
                <w:szCs w:val="24"/>
                <w:highlight w:val="none"/>
                <w:lang w:val="en-US" w:eastAsia="zh-CN"/>
              </w:rPr>
              <w:t>四</w:t>
            </w:r>
            <w:r>
              <w:rPr>
                <w:rFonts w:hint="eastAsia" w:ascii="仿宋_GB2312" w:eastAsia="仿宋_GB2312" w:hAnsiTheme="minorEastAsia"/>
                <w:color w:val="auto"/>
                <w:sz w:val="24"/>
                <w:szCs w:val="24"/>
                <w:highlight w:val="none"/>
              </w:rPr>
              <w:t>章采购方法有关条款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.18</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履约担保</w:t>
            </w:r>
          </w:p>
        </w:tc>
        <w:tc>
          <w:tcPr>
            <w:tcW w:w="5979" w:type="dxa"/>
            <w:tcBorders>
              <w:right w:val="nil"/>
            </w:tcBorders>
            <w:vAlign w:val="center"/>
          </w:tcPr>
          <w:p>
            <w:pPr>
              <w:adjustRightInd w:val="0"/>
              <w:snapToGrid w:val="0"/>
              <w:ind w:firstLine="480" w:firstLineChars="200"/>
              <w:rPr>
                <w:rFonts w:hint="default" w:ascii="仿宋_GB2312" w:eastAsia="仿宋_GB2312" w:hAnsiTheme="minorEastAsia"/>
                <w:color w:val="auto"/>
                <w:sz w:val="24"/>
                <w:szCs w:val="24"/>
                <w:highlight w:val="none"/>
                <w:lang w:val="en-US" w:eastAsia="zh-CN"/>
              </w:rPr>
            </w:pPr>
            <w:r>
              <w:rPr>
                <w:rFonts w:hint="eastAsia" w:ascii="仿宋_GB2312" w:eastAsia="仿宋_GB2312" w:hAnsiTheme="minorEastAsia"/>
                <w:color w:val="auto"/>
                <w:sz w:val="24"/>
                <w:szCs w:val="24"/>
                <w:highlight w:val="none"/>
                <w:lang w:val="en-US" w:eastAsia="zh-CN"/>
              </w:rPr>
              <w:t>详见第六章合同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925" w:type="dxa"/>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其他</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.19</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需要补充的其他内容</w:t>
            </w:r>
          </w:p>
        </w:tc>
        <w:tc>
          <w:tcPr>
            <w:tcW w:w="5979" w:type="dxa"/>
            <w:tcBorders>
              <w:right w:val="nil"/>
            </w:tcBorders>
            <w:vAlign w:val="center"/>
          </w:tcPr>
          <w:p>
            <w:pPr>
              <w:adjustRightInd w:val="0"/>
              <w:snapToGrid w:val="0"/>
              <w:rPr>
                <w:rFonts w:hint="default" w:ascii="仿宋_GB2312" w:eastAsia="仿宋_GB2312" w:hAnsiTheme="minorEastAsia"/>
                <w:color w:val="auto"/>
                <w:sz w:val="24"/>
                <w:szCs w:val="24"/>
                <w:highlight w:val="none"/>
                <w:lang w:val="en-US" w:eastAsia="zh-CN"/>
              </w:rPr>
            </w:pPr>
          </w:p>
        </w:tc>
      </w:tr>
    </w:tbl>
    <w:p>
      <w:pPr>
        <w:adjustRightInd w:val="0"/>
        <w:snapToGrid w:val="0"/>
        <w:spacing w:beforeLines="50" w:afterLines="50" w:line="560" w:lineRule="exact"/>
        <w:ind w:left="0" w:firstLine="0" w:firstLineChars="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2</w:t>
      </w:r>
      <w:r>
        <w:rPr>
          <w:rFonts w:hint="eastAsia" w:asciiTheme="minorEastAsia" w:hAnsiTheme="minorEastAsia"/>
          <w:b/>
          <w:color w:val="auto"/>
          <w:sz w:val="32"/>
          <w:szCs w:val="32"/>
          <w:highlight w:val="none"/>
        </w:rPr>
        <w:t>.若出现以下情况之一的，采购人将拒绝接收响应文件</w:t>
      </w:r>
    </w:p>
    <w:p>
      <w:pPr>
        <w:adjustRightInd w:val="0"/>
        <w:snapToGrid w:val="0"/>
        <w:spacing w:line="600" w:lineRule="exact"/>
        <w:ind w:firstLine="420" w:firstLineChars="150"/>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（1）逾期送达的、未送达指定地点的响应文件，采购人将予以拒收。</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   （2）不按照采购文件要求密封的响应文件，采购人将予以拒收。</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3</w:t>
      </w:r>
      <w:r>
        <w:rPr>
          <w:rFonts w:hint="eastAsia" w:asciiTheme="minorEastAsia" w:hAnsiTheme="minorEastAsia"/>
          <w:b/>
          <w:color w:val="auto"/>
          <w:sz w:val="32"/>
          <w:szCs w:val="32"/>
          <w:highlight w:val="none"/>
        </w:rPr>
        <w:t>.发生下列情况之一者，视为无效响应行为</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（1）响应文件未按规定签字、盖章的。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2</w:t>
      </w:r>
      <w:r>
        <w:rPr>
          <w:rFonts w:hint="eastAsia" w:ascii="仿宋_GB2312" w:eastAsia="仿宋_GB2312"/>
          <w:color w:val="auto"/>
          <w:sz w:val="28"/>
          <w:szCs w:val="28"/>
          <w:highlight w:val="none"/>
        </w:rPr>
        <w:t>）响应文件未按规定格式填写，或内容与采购文件严重背离的。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）响应文件有两个以上报价的（采购文件允许提交备选方案的除外）。</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）质量标准不符合采购文件要求的。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）服务期不符合采购文件要求的。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）报价超过最高限价的。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7</w:t>
      </w:r>
      <w:r>
        <w:rPr>
          <w:rFonts w:hint="eastAsia" w:ascii="仿宋_GB2312" w:eastAsia="仿宋_GB2312"/>
          <w:color w:val="auto"/>
          <w:sz w:val="28"/>
          <w:szCs w:val="28"/>
          <w:highlight w:val="none"/>
        </w:rPr>
        <w:t>）供应商不符合国家或采购文件规定的资格条件。</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8</w:t>
      </w:r>
      <w:r>
        <w:rPr>
          <w:rFonts w:hint="eastAsia" w:ascii="仿宋_GB2312" w:eastAsia="仿宋_GB2312"/>
          <w:color w:val="auto"/>
          <w:sz w:val="28"/>
          <w:szCs w:val="28"/>
          <w:highlight w:val="none"/>
        </w:rPr>
        <w:t>）响应文件没有对采购文件的实质性要求和条件作出响应。</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9</w:t>
      </w:r>
      <w:r>
        <w:rPr>
          <w:rFonts w:hint="eastAsia" w:ascii="仿宋_GB2312" w:eastAsia="仿宋_GB2312"/>
          <w:color w:val="auto"/>
          <w:sz w:val="28"/>
          <w:szCs w:val="28"/>
          <w:highlight w:val="none"/>
        </w:rPr>
        <w:t>）其他不符合采购文件要求的情形。</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4</w:t>
      </w:r>
      <w:r>
        <w:rPr>
          <w:rFonts w:hint="eastAsia" w:asciiTheme="minorEastAsia" w:hAnsiTheme="minorEastAsia"/>
          <w:b/>
          <w:color w:val="auto"/>
          <w:sz w:val="32"/>
          <w:szCs w:val="32"/>
          <w:highlight w:val="none"/>
        </w:rPr>
        <w:t>.响应保证金</w:t>
      </w:r>
    </w:p>
    <w:p>
      <w:pPr>
        <w:adjustRightInd w:val="0"/>
        <w:snapToGrid w:val="0"/>
        <w:spacing w:line="560" w:lineRule="exact"/>
        <w:ind w:firstLine="555"/>
        <w:jc w:val="left"/>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本项目无须递交响应保证金。</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5</w:t>
      </w:r>
      <w:r>
        <w:rPr>
          <w:rFonts w:hint="eastAsia" w:asciiTheme="minorEastAsia" w:hAnsiTheme="minorEastAsia"/>
          <w:b/>
          <w:color w:val="auto"/>
          <w:sz w:val="32"/>
          <w:szCs w:val="32"/>
          <w:highlight w:val="none"/>
        </w:rPr>
        <w:t>.响应文件要求</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.1响应文件包括下列内容</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1.响应函</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2.法定代表人证明或授权委托书</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3.资格审查资料</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4.拟投入本项目的项目负责人情况表</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5.报价表</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6.其他资料</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6</w:t>
      </w:r>
      <w:r>
        <w:rPr>
          <w:rFonts w:hint="eastAsia" w:asciiTheme="minorEastAsia" w:hAnsiTheme="minorEastAsia"/>
          <w:b/>
          <w:color w:val="auto"/>
          <w:sz w:val="32"/>
          <w:szCs w:val="32"/>
          <w:highlight w:val="none"/>
        </w:rPr>
        <w:t>.异议</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.1 供应商或其他利害关系人可以对采购公告</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采购邀请书</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、采购文件、成交候选人等提出异议。异议应在采购公告或文件规定的时间内、成交候选人公示期间通过规定的异议渠道提出，并递交异议函和必要的证明材料。</w:t>
      </w:r>
      <w:r>
        <w:rPr>
          <w:rFonts w:hint="eastAsia" w:ascii="仿宋_GB2312" w:eastAsia="仿宋_GB2312"/>
          <w:color w:val="auto"/>
          <w:sz w:val="28"/>
          <w:szCs w:val="28"/>
          <w:highlight w:val="none"/>
          <w:lang w:val="en-US" w:eastAsia="zh-CN"/>
        </w:rPr>
        <w:t>须按附件5表格提出</w:t>
      </w:r>
      <w:r>
        <w:rPr>
          <w:rFonts w:hint="eastAsia" w:ascii="仿宋_GB2312" w:eastAsia="仿宋_GB2312"/>
          <w:color w:val="auto"/>
          <w:sz w:val="28"/>
          <w:szCs w:val="28"/>
          <w:highlight w:val="none"/>
        </w:rPr>
        <w:t>异议</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异议</w:t>
      </w:r>
      <w:r>
        <w:rPr>
          <w:rFonts w:hint="eastAsia" w:ascii="仿宋_GB2312" w:eastAsia="仿宋_GB2312"/>
          <w:color w:val="auto"/>
          <w:sz w:val="28"/>
          <w:szCs w:val="28"/>
          <w:highlight w:val="none"/>
        </w:rPr>
        <w:t>函包括但不限于下列内容：</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（1）异议人名称、地址、邮政编码、联系人及联系电话；</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（2）具体、明确的异议事项、事实依据及与异议事项相关的请求。</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异议函应由异议人的法定代表人（单位负责人）或其授权的代理人签字并加盖单位章。</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2采购人将针对异议事项进行核查，经过核查，发现异议人对相关问题理解有误的，应作出解释；发现采购活动中确实存在错误或不当行为的，应及时予以改正或补救。采购人认为异议不成立或不影响采购结果的，在做出相关回应后可以继续进行采购活动。</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.3 异议人与采购人对异议事项无法达成一致的，异议人可向采购人的监管部门进行反映。</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7</w:t>
      </w:r>
      <w:r>
        <w:rPr>
          <w:rFonts w:hint="eastAsia" w:asciiTheme="minorEastAsia" w:hAnsiTheme="minorEastAsia"/>
          <w:b/>
          <w:color w:val="auto"/>
          <w:sz w:val="32"/>
          <w:szCs w:val="32"/>
          <w:highlight w:val="none"/>
        </w:rPr>
        <w:t>.本章附件</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ascii="仿宋_GB2312" w:eastAsia="仿宋_GB2312"/>
          <w:color w:val="auto"/>
          <w:sz w:val="28"/>
          <w:szCs w:val="28"/>
          <w:highlight w:val="none"/>
        </w:rPr>
        <w:t>附件</w:t>
      </w:r>
      <w:r>
        <w:rPr>
          <w:rFonts w:hint="eastAsia" w:ascii="仿宋_GB2312" w:eastAsia="仿宋_GB2312"/>
          <w:color w:val="auto"/>
          <w:sz w:val="28"/>
          <w:szCs w:val="28"/>
          <w:highlight w:val="none"/>
        </w:rPr>
        <w:t>1：响应文件开启表</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附件2：问题澄清通知</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附件3：问题的澄清</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附件4：成交通知书</w:t>
      </w:r>
    </w:p>
    <w:p>
      <w:pPr>
        <w:adjustRightInd w:val="0"/>
        <w:snapToGrid w:val="0"/>
        <w:spacing w:line="600" w:lineRule="exact"/>
        <w:jc w:val="left"/>
        <w:rPr>
          <w:rFonts w:hint="default" w:asciiTheme="majorEastAsia" w:hAnsiTheme="majorEastAsia" w:eastAsiaTheme="majorEastAsia"/>
          <w:b/>
          <w:color w:val="auto"/>
          <w:sz w:val="28"/>
          <w:szCs w:val="28"/>
          <w:highlight w:val="none"/>
          <w:lang w:val="en-US" w:eastAsia="zh-CN"/>
        </w:rPr>
      </w:pPr>
      <w:r>
        <w:rPr>
          <w:rFonts w:hint="eastAsia" w:asciiTheme="majorEastAsia" w:hAnsiTheme="majorEastAsia" w:eastAsiaTheme="majorEastAsia"/>
          <w:b/>
          <w:color w:val="auto"/>
          <w:sz w:val="28"/>
          <w:szCs w:val="28"/>
          <w:highlight w:val="none"/>
          <w:lang w:val="en-US" w:eastAsia="zh-CN"/>
        </w:rPr>
        <w:t xml:space="preserve">  </w:t>
      </w:r>
      <w:r>
        <w:rPr>
          <w:rFonts w:hint="eastAsia" w:ascii="仿宋_GB2312" w:eastAsia="仿宋_GB2312" w:hAnsiTheme="minorHAnsi"/>
          <w:b w:val="0"/>
          <w:color w:val="auto"/>
          <w:sz w:val="28"/>
          <w:szCs w:val="28"/>
          <w:highlight w:val="none"/>
          <w:lang w:val="en-US" w:eastAsia="zh-CN"/>
        </w:rPr>
        <w:t xml:space="preserve">  </w:t>
      </w:r>
      <w:r>
        <w:rPr>
          <w:rFonts w:hint="eastAsia" w:ascii="仿宋_GB2312" w:eastAsia="仿宋_GB2312"/>
          <w:b w:val="0"/>
          <w:color w:val="auto"/>
          <w:sz w:val="28"/>
          <w:szCs w:val="28"/>
          <w:highlight w:val="none"/>
          <w:lang w:val="en-US" w:eastAsia="zh-CN"/>
        </w:rPr>
        <w:t xml:space="preserve"> </w:t>
      </w:r>
      <w:r>
        <w:rPr>
          <w:rFonts w:hint="eastAsia" w:ascii="仿宋_GB2312" w:eastAsia="仿宋_GB2312"/>
          <w:color w:val="auto"/>
          <w:sz w:val="28"/>
          <w:szCs w:val="28"/>
          <w:highlight w:val="none"/>
        </w:rPr>
        <w:t>附件</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：关于**项目异议书</w:t>
      </w:r>
    </w:p>
    <w:p>
      <w:pPr>
        <w:adjustRightInd w:val="0"/>
        <w:snapToGrid w:val="0"/>
        <w:spacing w:line="600" w:lineRule="exact"/>
        <w:jc w:val="left"/>
        <w:rPr>
          <w:rFonts w:asciiTheme="majorEastAsia" w:hAnsiTheme="majorEastAsia" w:eastAsiaTheme="majorEastAsia"/>
          <w:b/>
          <w:color w:val="auto"/>
          <w:sz w:val="28"/>
          <w:szCs w:val="28"/>
          <w:highlight w:val="none"/>
        </w:rPr>
      </w:pPr>
    </w:p>
    <w:p>
      <w:pPr>
        <w:pStyle w:val="22"/>
        <w:rPr>
          <w:rFonts w:asciiTheme="majorEastAsia" w:hAnsiTheme="majorEastAsia" w:eastAsiaTheme="majorEastAsia"/>
          <w:b/>
          <w:color w:val="auto"/>
          <w:sz w:val="28"/>
          <w:szCs w:val="28"/>
          <w:highlight w:val="none"/>
        </w:rPr>
      </w:pPr>
    </w:p>
    <w:p>
      <w:pPr>
        <w:pStyle w:val="22"/>
        <w:ind w:left="0" w:leftChars="0" w:firstLine="0" w:firstLineChars="0"/>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asciiTheme="majorEastAsia" w:hAnsiTheme="majorEastAsia" w:eastAsiaTheme="majorEastAsia"/>
          <w:b/>
          <w:color w:val="auto"/>
          <w:sz w:val="28"/>
          <w:szCs w:val="28"/>
          <w:highlight w:val="none"/>
        </w:rPr>
        <w:t>附件</w:t>
      </w:r>
      <w:r>
        <w:rPr>
          <w:rFonts w:hint="eastAsia" w:asciiTheme="majorEastAsia" w:hAnsiTheme="majorEastAsia" w:eastAsiaTheme="majorEastAsia"/>
          <w:b/>
          <w:color w:val="auto"/>
          <w:sz w:val="28"/>
          <w:szCs w:val="28"/>
          <w:highlight w:val="none"/>
        </w:rPr>
        <w:t>1</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响应文件开启表</w:t>
      </w:r>
    </w:p>
    <w:p>
      <w:pPr>
        <w:pStyle w:val="36"/>
        <w:rPr>
          <w:color w:val="auto"/>
          <w:highlight w:val="none"/>
        </w:rPr>
      </w:pP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开启时间：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时</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分</w:t>
      </w:r>
    </w:p>
    <w:tbl>
      <w:tblPr>
        <w:tblStyle w:val="24"/>
        <w:tblW w:w="0" w:type="auto"/>
        <w:tblInd w:w="-204"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54"/>
        <w:gridCol w:w="2659"/>
        <w:gridCol w:w="1173"/>
        <w:gridCol w:w="1909"/>
        <w:gridCol w:w="1609"/>
        <w:gridCol w:w="66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4"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序号</w:t>
            </w:r>
          </w:p>
        </w:tc>
        <w:tc>
          <w:tcPr>
            <w:tcW w:w="2659"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供应商</w:t>
            </w:r>
          </w:p>
        </w:tc>
        <w:tc>
          <w:tcPr>
            <w:tcW w:w="1173"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密封情况</w:t>
            </w:r>
          </w:p>
        </w:tc>
        <w:tc>
          <w:tcPr>
            <w:tcW w:w="1909" w:type="dxa"/>
            <w:vMerge w:val="restart"/>
            <w:tcBorders>
              <w:top w:val="single" w:color="auto" w:sz="4" w:space="0"/>
            </w:tcBorders>
            <w:vAlign w:val="center"/>
          </w:tcPr>
          <w:p>
            <w:pPr>
              <w:adjustRightInd w:val="0"/>
              <w:snapToGrid w:val="0"/>
              <w:jc w:val="center"/>
              <w:rPr>
                <w:rFonts w:hint="default" w:ascii="仿宋_GB2312" w:eastAsia="仿宋_GB2312"/>
                <w:color w:val="auto"/>
                <w:sz w:val="24"/>
                <w:szCs w:val="24"/>
                <w:highlight w:val="none"/>
                <w:lang w:val="en-US" w:eastAsia="zh-CN"/>
              </w:rPr>
            </w:pPr>
            <w:r>
              <w:rPr>
                <w:rFonts w:ascii="仿宋_GB2312" w:eastAsia="仿宋_GB2312"/>
                <w:color w:val="auto"/>
                <w:sz w:val="24"/>
                <w:szCs w:val="24"/>
                <w:highlight w:val="none"/>
              </w:rPr>
              <w:t>报价</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lang w:val="en-US" w:eastAsia="zh-CN"/>
              </w:rPr>
              <w:t>元）</w:t>
            </w:r>
          </w:p>
        </w:tc>
        <w:tc>
          <w:tcPr>
            <w:tcW w:w="1609"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供应商代表签名</w:t>
            </w:r>
          </w:p>
        </w:tc>
        <w:tc>
          <w:tcPr>
            <w:tcW w:w="668"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备注</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600" w:hRule="atLeast"/>
        </w:trPr>
        <w:tc>
          <w:tcPr>
            <w:tcW w:w="554"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668"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tcBorders>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c>
          <w:tcPr>
            <w:tcW w:w="668" w:type="dxa"/>
            <w:tcBorders>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tcBorders>
              <w:top w:val="single" w:color="auto" w:sz="4" w:space="0"/>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c>
          <w:tcPr>
            <w:tcW w:w="668" w:type="dxa"/>
            <w:tcBorders>
              <w:top w:val="single" w:color="auto" w:sz="4" w:space="0"/>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r>
    </w:tbl>
    <w:p>
      <w:pPr>
        <w:adjustRightInd w:val="0"/>
        <w:snapToGrid w:val="0"/>
        <w:spacing w:line="600" w:lineRule="exact"/>
        <w:ind w:firstLine="555"/>
        <w:jc w:val="left"/>
        <w:rPr>
          <w:rFonts w:ascii="仿宋_GB2312" w:eastAsia="仿宋_GB2312" w:hAnsiTheme="majorEastAsia"/>
          <w:color w:val="auto"/>
          <w:sz w:val="28"/>
          <w:szCs w:val="28"/>
          <w:highlight w:val="none"/>
          <w:u w:val="single"/>
        </w:rPr>
      </w:pPr>
      <w:r>
        <w:rPr>
          <w:rFonts w:hint="eastAsia" w:ascii="仿宋_GB2312" w:eastAsia="仿宋_GB2312" w:hAnsiTheme="majorEastAsia"/>
          <w:color w:val="auto"/>
          <w:sz w:val="28"/>
          <w:szCs w:val="28"/>
          <w:highlight w:val="none"/>
        </w:rPr>
        <w:t>采购人代表</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 xml:space="preserve">      记录人</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 xml:space="preserve">  </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adjustRightInd w:val="0"/>
        <w:snapToGrid w:val="0"/>
        <w:spacing w:line="600" w:lineRule="exact"/>
        <w:ind w:firstLine="555"/>
        <w:jc w:val="left"/>
        <w:rPr>
          <w:rFonts w:ascii="仿宋_GB2312" w:eastAsia="仿宋_GB2312" w:hAnsiTheme="majorEastAsia"/>
          <w:color w:val="auto"/>
          <w:sz w:val="28"/>
          <w:szCs w:val="28"/>
          <w:highlight w:val="none"/>
        </w:rPr>
      </w:pPr>
    </w:p>
    <w:p>
      <w:pPr>
        <w:pStyle w:val="22"/>
        <w:rPr>
          <w:rFonts w:ascii="仿宋_GB2312" w:eastAsia="仿宋_GB2312" w:hAnsiTheme="majorEastAsia"/>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附件2</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问题澄清通知</w:t>
      </w:r>
    </w:p>
    <w:p>
      <w:pPr>
        <w:pStyle w:val="36"/>
        <w:rPr>
          <w:color w:val="auto"/>
          <w:highlight w:val="none"/>
        </w:rPr>
      </w:pP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编号：</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u w:val="single"/>
        </w:rPr>
        <w:t xml:space="preserve">   （供应商名称）    </w:t>
      </w:r>
      <w:r>
        <w:rPr>
          <w:rFonts w:hint="eastAsia" w:ascii="仿宋_GB2312" w:eastAsia="仿宋_GB2312" w:hAnsiTheme="majorEastAsia"/>
          <w:color w:val="auto"/>
          <w:sz w:val="28"/>
          <w:szCs w:val="28"/>
          <w:highlight w:val="none"/>
        </w:rPr>
        <w:t>：</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（项目名称） </w:t>
      </w:r>
      <w:r>
        <w:rPr>
          <w:rFonts w:hint="eastAsia" w:ascii="仿宋_GB2312" w:eastAsia="仿宋_GB2312" w:hAnsiTheme="majorEastAsia"/>
          <w:color w:val="auto"/>
          <w:sz w:val="28"/>
          <w:szCs w:val="28"/>
          <w:highlight w:val="none"/>
        </w:rPr>
        <w:t>的评审小组，对你方的响应文件进行了仔细的审查，现需你方对下列问题以书面形式予以澄清：</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1.</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2.</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请将上述问题的澄清于</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时前递交至</w:t>
      </w:r>
      <w:r>
        <w:rPr>
          <w:rFonts w:hint="eastAsia" w:ascii="仿宋_GB2312" w:eastAsia="仿宋_GB2312" w:hAnsiTheme="majorEastAsia"/>
          <w:color w:val="auto"/>
          <w:sz w:val="28"/>
          <w:szCs w:val="28"/>
          <w:highlight w:val="none"/>
          <w:u w:val="single"/>
        </w:rPr>
        <w:t xml:space="preserve">  （详细地址） </w:t>
      </w:r>
      <w:r>
        <w:rPr>
          <w:rFonts w:hint="eastAsia" w:ascii="仿宋_GB2312" w:eastAsia="仿宋_GB2312" w:hAnsiTheme="majorEastAsia"/>
          <w:color w:val="auto"/>
          <w:sz w:val="28"/>
          <w:szCs w:val="28"/>
          <w:highlight w:val="none"/>
        </w:rPr>
        <w:t>。</w:t>
      </w: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ind w:firstLine="4760" w:firstLineChars="17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u w:val="single"/>
        </w:rPr>
        <w:t xml:space="preserve">（项目名称） </w:t>
      </w:r>
      <w:r>
        <w:rPr>
          <w:rFonts w:hint="eastAsia" w:ascii="仿宋_GB2312" w:eastAsia="仿宋_GB2312" w:hAnsiTheme="majorEastAsia"/>
          <w:color w:val="auto"/>
          <w:sz w:val="28"/>
          <w:szCs w:val="28"/>
          <w:highlight w:val="none"/>
        </w:rPr>
        <w:t>评审小组</w:t>
      </w:r>
    </w:p>
    <w:p>
      <w:pPr>
        <w:adjustRightInd w:val="0"/>
        <w:snapToGrid w:val="0"/>
        <w:spacing w:line="600" w:lineRule="exact"/>
        <w:ind w:firstLine="4760" w:firstLineChars="17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评审小组：</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（签字）</w:t>
      </w:r>
    </w:p>
    <w:p>
      <w:pPr>
        <w:adjustRightInd w:val="0"/>
        <w:snapToGrid w:val="0"/>
        <w:spacing w:line="600" w:lineRule="exact"/>
        <w:ind w:firstLine="5451" w:firstLineChars="1947"/>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adjustRightInd w:val="0"/>
        <w:snapToGrid w:val="0"/>
        <w:spacing w:line="600" w:lineRule="exact"/>
        <w:ind w:firstLine="4779" w:firstLineChars="1700"/>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pStyle w:val="22"/>
        <w:rPr>
          <w:color w:val="auto"/>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附件3</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问题的澄清</w:t>
      </w:r>
    </w:p>
    <w:p>
      <w:pPr>
        <w:pStyle w:val="36"/>
        <w:rPr>
          <w:color w:val="auto"/>
          <w:highlight w:val="none"/>
        </w:rPr>
      </w:pP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编号：</w:t>
      </w: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仿宋_GB2312" w:eastAsia="仿宋_GB2312" w:hAnsiTheme="majorEastAsia"/>
          <w:color w:val="auto"/>
          <w:sz w:val="28"/>
          <w:szCs w:val="28"/>
          <w:highlight w:val="none"/>
          <w:u w:val="single"/>
        </w:rPr>
        <w:t>（项目名称）</w:t>
      </w:r>
      <w:r>
        <w:rPr>
          <w:rFonts w:hint="eastAsia" w:ascii="仿宋_GB2312" w:eastAsia="仿宋_GB2312" w:hAnsiTheme="majorEastAsia"/>
          <w:color w:val="auto"/>
          <w:sz w:val="28"/>
          <w:szCs w:val="28"/>
          <w:highlight w:val="none"/>
        </w:rPr>
        <w:t>评审小组：</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问题澄清通知（编号：</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）已收悉，现澄清如下：</w:t>
      </w:r>
    </w:p>
    <w:p>
      <w:pPr>
        <w:adjustRightInd w:val="0"/>
        <w:snapToGrid w:val="0"/>
        <w:spacing w:line="600" w:lineRule="exact"/>
        <w:ind w:firstLine="57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1.</w:t>
      </w:r>
    </w:p>
    <w:p>
      <w:pPr>
        <w:adjustRightInd w:val="0"/>
        <w:snapToGrid w:val="0"/>
        <w:spacing w:line="600" w:lineRule="exact"/>
        <w:ind w:firstLine="57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2.</w:t>
      </w:r>
    </w:p>
    <w:p>
      <w:pPr>
        <w:adjustRightInd w:val="0"/>
        <w:snapToGrid w:val="0"/>
        <w:spacing w:line="600" w:lineRule="exact"/>
        <w:ind w:firstLine="570"/>
        <w:jc w:val="left"/>
        <w:rPr>
          <w:rFonts w:asciiTheme="majorEastAsia" w:hAnsiTheme="majorEastAsia" w:eastAsiaTheme="majorEastAsia"/>
          <w:b/>
          <w:color w:val="auto"/>
          <w:sz w:val="28"/>
          <w:szCs w:val="28"/>
          <w:highlight w:val="none"/>
        </w:rPr>
      </w:pPr>
    </w:p>
    <w:p>
      <w:pPr>
        <w:adjustRightInd w:val="0"/>
        <w:snapToGrid w:val="0"/>
        <w:spacing w:line="600" w:lineRule="exact"/>
        <w:ind w:firstLine="2520" w:firstLineChars="9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供应商：</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（公章）</w:t>
      </w:r>
    </w:p>
    <w:p>
      <w:pPr>
        <w:adjustRightInd w:val="0"/>
        <w:snapToGrid w:val="0"/>
        <w:spacing w:line="600" w:lineRule="exact"/>
        <w:ind w:firstLine="2520" w:firstLineChars="900"/>
        <w:jc w:val="left"/>
        <w:rPr>
          <w:rFonts w:asciiTheme="majorEastAsia" w:hAnsiTheme="majorEastAsia" w:eastAsiaTheme="majorEastAsia"/>
          <w:b/>
          <w:color w:val="auto"/>
          <w:sz w:val="28"/>
          <w:szCs w:val="28"/>
          <w:highlight w:val="none"/>
        </w:rPr>
      </w:pPr>
      <w:r>
        <w:rPr>
          <w:rFonts w:hint="eastAsia" w:ascii="仿宋_GB2312" w:eastAsia="仿宋_GB2312" w:hAnsiTheme="majorEastAsia"/>
          <w:color w:val="auto"/>
          <w:sz w:val="28"/>
          <w:szCs w:val="28"/>
          <w:highlight w:val="none"/>
        </w:rPr>
        <w:t>或</w:t>
      </w:r>
    </w:p>
    <w:p>
      <w:pPr>
        <w:adjustRightInd w:val="0"/>
        <w:snapToGrid w:val="0"/>
        <w:spacing w:line="600" w:lineRule="exact"/>
        <w:ind w:firstLine="2520" w:firstLineChars="9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法定代表人或委托代理人：</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（签字）</w:t>
      </w:r>
    </w:p>
    <w:p>
      <w:pPr>
        <w:adjustRightInd w:val="0"/>
        <w:snapToGrid w:val="0"/>
        <w:spacing w:line="600" w:lineRule="exact"/>
        <w:ind w:firstLine="5451" w:firstLineChars="1947"/>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pStyle w:val="22"/>
        <w:rPr>
          <w:rFonts w:ascii="仿宋_GB2312" w:eastAsia="仿宋_GB2312" w:hAnsiTheme="majorEastAsia"/>
          <w:color w:val="auto"/>
          <w:sz w:val="28"/>
          <w:szCs w:val="28"/>
          <w:highlight w:val="none"/>
        </w:rPr>
      </w:pPr>
    </w:p>
    <w:p>
      <w:pPr>
        <w:adjustRightInd w:val="0"/>
        <w:snapToGrid w:val="0"/>
        <w:spacing w:line="600" w:lineRule="exact"/>
        <w:jc w:val="left"/>
        <w:rPr>
          <w:rFonts w:ascii="仿宋_GB2312" w:eastAsia="仿宋_GB2312" w:hAnsiTheme="majorEastAsia"/>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 xml:space="preserve">附件4 </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成交通知书</w:t>
      </w:r>
    </w:p>
    <w:p>
      <w:pPr>
        <w:pStyle w:val="36"/>
        <w:rPr>
          <w:color w:val="auto"/>
          <w:highlight w:val="none"/>
        </w:rPr>
      </w:pPr>
    </w:p>
    <w:p>
      <w:pPr>
        <w:pStyle w:val="36"/>
        <w:ind w:firstLine="3465" w:firstLineChars="1650"/>
        <w:rPr>
          <w:rFonts w:ascii="仿宋_GB2312" w:eastAsia="仿宋_GB2312"/>
          <w:color w:val="auto"/>
          <w:highlight w:val="none"/>
        </w:rPr>
      </w:pPr>
      <w:r>
        <w:rPr>
          <w:rFonts w:hint="eastAsia" w:ascii="仿宋_GB2312" w:eastAsia="仿宋_GB2312"/>
          <w:color w:val="auto"/>
          <w:highlight w:val="none"/>
        </w:rPr>
        <w:t>（编号：</w:t>
      </w:r>
      <w:r>
        <w:rPr>
          <w:rFonts w:ascii="仿宋_GB2312" w:eastAsia="仿宋_GB2312"/>
          <w:color w:val="auto"/>
          <w:highlight w:val="none"/>
        </w:rPr>
        <w:t xml:space="preserve">        </w:t>
      </w:r>
      <w:r>
        <w:rPr>
          <w:rFonts w:hint="eastAsia" w:ascii="仿宋_GB2312" w:eastAsia="仿宋_GB2312"/>
          <w:color w:val="auto"/>
          <w:highlight w:val="none"/>
        </w:rPr>
        <w:t>）</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u w:val="single"/>
        </w:rPr>
        <w:t xml:space="preserve">   （成交供应商名称）    </w:t>
      </w:r>
      <w:r>
        <w:rPr>
          <w:rFonts w:hint="eastAsia" w:ascii="仿宋_GB2312" w:eastAsia="仿宋_GB2312" w:hAnsiTheme="majorEastAsia"/>
          <w:color w:val="auto"/>
          <w:sz w:val="28"/>
          <w:szCs w:val="28"/>
          <w:highlight w:val="none"/>
        </w:rPr>
        <w:t>：</w:t>
      </w:r>
    </w:p>
    <w:p>
      <w:pPr>
        <w:adjustRightInd w:val="0"/>
        <w:snapToGrid w:val="0"/>
        <w:spacing w:line="600" w:lineRule="exact"/>
        <w:ind w:firstLine="57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你方递交的响应文件已被我方接受，你方已被确认为</w:t>
      </w:r>
      <w:r>
        <w:rPr>
          <w:rFonts w:hint="eastAsia" w:ascii="仿宋_GB2312" w:eastAsia="仿宋_GB2312" w:hAnsiTheme="majorEastAsia"/>
          <w:color w:val="auto"/>
          <w:sz w:val="28"/>
          <w:szCs w:val="28"/>
          <w:highlight w:val="none"/>
          <w:u w:val="single"/>
          <w:lang w:val="en-US" w:eastAsia="zh-CN"/>
        </w:rPr>
        <w:t xml:space="preserve">      项目</w:t>
      </w:r>
      <w:r>
        <w:rPr>
          <w:rFonts w:hint="eastAsia" w:ascii="仿宋_GB2312" w:eastAsia="仿宋_GB2312" w:hAnsiTheme="majorEastAsia"/>
          <w:color w:val="auto"/>
          <w:sz w:val="28"/>
          <w:szCs w:val="28"/>
          <w:highlight w:val="none"/>
          <w:u w:val="none"/>
          <w:lang w:val="en-US" w:eastAsia="zh-CN"/>
        </w:rPr>
        <w:t>的</w:t>
      </w:r>
      <w:r>
        <w:rPr>
          <w:rFonts w:hint="eastAsia" w:ascii="仿宋_GB2312" w:eastAsia="仿宋_GB2312" w:hAnsiTheme="majorEastAsia"/>
          <w:color w:val="auto"/>
          <w:sz w:val="28"/>
          <w:szCs w:val="28"/>
          <w:highlight w:val="none"/>
        </w:rPr>
        <w:t>成交供应商。</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成交金额，大写：</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，小写：</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 xml:space="preserve"> 。</w:t>
      </w:r>
    </w:p>
    <w:p>
      <w:pPr>
        <w:adjustRightInd w:val="0"/>
        <w:snapToGrid w:val="0"/>
        <w:spacing w:line="600" w:lineRule="exact"/>
        <w:jc w:val="left"/>
        <w:rPr>
          <w:rFonts w:hint="eastAsia" w:ascii="仿宋_GB2312" w:eastAsia="仿宋_GB2312" w:hAnsiTheme="majorEastAsia"/>
          <w:color w:val="auto"/>
          <w:sz w:val="28"/>
          <w:szCs w:val="28"/>
          <w:highlight w:val="none"/>
          <w:lang w:eastAsia="zh-CN"/>
        </w:rPr>
      </w:pPr>
      <w:r>
        <w:rPr>
          <w:rFonts w:hint="eastAsia" w:ascii="仿宋_GB2312" w:eastAsia="仿宋_GB2312" w:hAnsiTheme="majorEastAsia"/>
          <w:color w:val="auto"/>
          <w:sz w:val="28"/>
          <w:szCs w:val="28"/>
          <w:highlight w:val="none"/>
        </w:rPr>
        <w:t>请你方在接到本通知书后的</w:t>
      </w:r>
      <w:r>
        <w:rPr>
          <w:rFonts w:hint="eastAsia" w:ascii="仿宋_GB2312" w:eastAsia="仿宋_GB2312" w:hAnsiTheme="majorEastAsia"/>
          <w:color w:val="auto"/>
          <w:sz w:val="28"/>
          <w:szCs w:val="28"/>
          <w:highlight w:val="none"/>
          <w:u w:val="single"/>
          <w:lang w:val="en-US" w:eastAsia="zh-CN"/>
        </w:rPr>
        <w:t>30</w:t>
      </w:r>
      <w:r>
        <w:rPr>
          <w:rFonts w:hint="eastAsia" w:ascii="仿宋_GB2312" w:eastAsia="仿宋_GB2312" w:hAnsiTheme="majorEastAsia"/>
          <w:color w:val="auto"/>
          <w:sz w:val="28"/>
          <w:szCs w:val="28"/>
          <w:highlight w:val="none"/>
        </w:rPr>
        <w:t>日内与我方签订采购合同，逾期视为自动放弃成交资格</w:t>
      </w:r>
      <w:r>
        <w:rPr>
          <w:rFonts w:hint="eastAsia" w:ascii="仿宋_GB2312" w:eastAsia="仿宋_GB2312" w:hAnsiTheme="majorEastAsia"/>
          <w:color w:val="auto"/>
          <w:sz w:val="28"/>
          <w:szCs w:val="28"/>
          <w:highlight w:val="none"/>
          <w:lang w:eastAsia="zh-CN"/>
        </w:rPr>
        <w:t>。</w:t>
      </w: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ind w:firstLine="4760" w:firstLineChars="17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采购人：</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（公章）</w:t>
      </w:r>
    </w:p>
    <w:p>
      <w:pPr>
        <w:adjustRightInd w:val="0"/>
        <w:snapToGrid w:val="0"/>
        <w:spacing w:line="600" w:lineRule="exact"/>
        <w:ind w:firstLine="5451" w:firstLineChars="1947"/>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附件</w:t>
      </w:r>
      <w:r>
        <w:rPr>
          <w:rFonts w:hint="eastAsia" w:asciiTheme="majorEastAsia" w:hAnsiTheme="majorEastAsia" w:eastAsiaTheme="majorEastAsia"/>
          <w:b/>
          <w:color w:val="auto"/>
          <w:sz w:val="28"/>
          <w:szCs w:val="28"/>
          <w:highlight w:val="none"/>
          <w:lang w:val="en-US" w:eastAsia="zh-CN"/>
        </w:rPr>
        <w:t>5</w:t>
      </w:r>
      <w:r>
        <w:rPr>
          <w:rFonts w:hint="eastAsia" w:asciiTheme="majorEastAsia" w:hAnsiTheme="majorEastAsia" w:eastAsiaTheme="majorEastAsia"/>
          <w:b/>
          <w:color w:val="auto"/>
          <w:sz w:val="28"/>
          <w:szCs w:val="28"/>
          <w:highlight w:val="none"/>
        </w:rPr>
        <w:t xml:space="preserve"> </w:t>
      </w:r>
    </w:p>
    <w:p>
      <w:pPr>
        <w:jc w:val="both"/>
        <w:rPr>
          <w:rFonts w:hint="eastAsia" w:ascii="宋体" w:hAnsi="宋体" w:cs="宋体"/>
          <w:b/>
          <w:bCs/>
          <w:sz w:val="44"/>
          <w:szCs w:val="44"/>
          <w:highlight w:val="none"/>
        </w:rPr>
      </w:pPr>
    </w:p>
    <w:p>
      <w:pPr>
        <w:jc w:val="center"/>
        <w:rPr>
          <w:rFonts w:ascii="宋体" w:hAnsi="宋体" w:cs="宋体"/>
          <w:b/>
          <w:bCs/>
          <w:sz w:val="44"/>
          <w:szCs w:val="44"/>
          <w:highlight w:val="none"/>
        </w:rPr>
      </w:pPr>
      <w:r>
        <w:rPr>
          <w:rFonts w:hint="eastAsia" w:ascii="宋体" w:hAnsi="宋体" w:cs="宋体"/>
          <w:b/>
          <w:bCs/>
          <w:sz w:val="44"/>
          <w:szCs w:val="44"/>
          <w:highlight w:val="none"/>
        </w:rPr>
        <w:t>关于</w:t>
      </w:r>
      <w:r>
        <w:rPr>
          <w:rFonts w:hint="eastAsia" w:ascii="宋体" w:hAnsi="宋体" w:cs="宋体"/>
          <w:b/>
          <w:bCs/>
          <w:sz w:val="44"/>
          <w:szCs w:val="44"/>
          <w:highlight w:val="none"/>
          <w:lang w:val="en-US" w:eastAsia="zh-CN"/>
        </w:rPr>
        <w:t>**</w:t>
      </w:r>
      <w:r>
        <w:rPr>
          <w:rFonts w:ascii="宋体" w:hAnsi="宋体" w:cs="宋体"/>
          <w:b/>
          <w:bCs/>
          <w:sz w:val="44"/>
          <w:szCs w:val="44"/>
          <w:highlight w:val="none"/>
        </w:rPr>
        <w:t>项目异议书</w:t>
      </w:r>
    </w:p>
    <w:p>
      <w:pPr>
        <w:widowControl/>
        <w:spacing w:line="408" w:lineRule="auto"/>
        <w:jc w:val="center"/>
        <w:rPr>
          <w:rFonts w:hAnsi="宋体" w:cs="仿宋_GB2312"/>
          <w:kern w:val="0"/>
          <w:sz w:val="24"/>
          <w:highlight w:val="none"/>
        </w:rPr>
      </w:pPr>
      <w:r>
        <w:rPr>
          <w:rFonts w:hAnsi="宋体" w:cs="仿宋_GB2312"/>
          <w:kern w:val="0"/>
          <w:sz w:val="24"/>
          <w:highlight w:val="none"/>
        </w:rPr>
        <w:t>(参考格式)</w:t>
      </w:r>
    </w:p>
    <w:p>
      <w:pPr>
        <w:rPr>
          <w:kern w:val="0"/>
          <w:sz w:val="28"/>
          <w:szCs w:val="28"/>
          <w:highlight w:val="none"/>
        </w:rPr>
      </w:pPr>
      <w:r>
        <w:rPr>
          <w:rFonts w:hint="eastAsia"/>
          <w:kern w:val="0"/>
          <w:sz w:val="28"/>
          <w:szCs w:val="28"/>
          <w:highlight w:val="none"/>
        </w:rPr>
        <w:t>项目名称：</w:t>
      </w:r>
    </w:p>
    <w:p>
      <w:pPr>
        <w:widowControl/>
        <w:jc w:val="left"/>
        <w:rPr>
          <w:rFonts w:hAnsi="宋体" w:cs="宋体"/>
          <w:kern w:val="0"/>
          <w:sz w:val="28"/>
          <w:szCs w:val="28"/>
          <w:highlight w:val="none"/>
        </w:rPr>
      </w:pPr>
      <w:r>
        <w:rPr>
          <w:rFonts w:hint="eastAsia" w:hAnsi="宋体" w:cs="仿宋_GB2312"/>
          <w:bCs/>
          <w:kern w:val="0"/>
          <w:sz w:val="28"/>
          <w:szCs w:val="28"/>
          <w:highlight w:val="none"/>
        </w:rPr>
        <w:t>异议人：</w:t>
      </w:r>
    </w:p>
    <w:p>
      <w:pPr>
        <w:widowControl/>
        <w:jc w:val="left"/>
        <w:rPr>
          <w:rFonts w:hAnsi="宋体" w:cs="宋体"/>
          <w:kern w:val="0"/>
          <w:sz w:val="28"/>
          <w:szCs w:val="28"/>
          <w:highlight w:val="none"/>
        </w:rPr>
      </w:pPr>
      <w:r>
        <w:rPr>
          <w:rFonts w:hint="eastAsia" w:hAnsi="宋体" w:cs="仿宋_GB2312"/>
          <w:kern w:val="0"/>
          <w:sz w:val="28"/>
          <w:szCs w:val="28"/>
          <w:highlight w:val="none"/>
        </w:rPr>
        <w:t>住所地：</w:t>
      </w:r>
      <w:r>
        <w:rPr>
          <w:rFonts w:hint="eastAsia" w:hAnsi="宋体" w:cs="仿宋_GB2312"/>
          <w:kern w:val="0"/>
          <w:sz w:val="28"/>
          <w:szCs w:val="28"/>
          <w:highlight w:val="none"/>
          <w:lang w:val="en-US" w:eastAsia="zh-CN"/>
        </w:rPr>
        <w:t xml:space="preserve">   </w:t>
      </w:r>
      <w:r>
        <w:rPr>
          <w:rFonts w:hAnsi="宋体" w:cs="仿宋_GB2312"/>
          <w:kern w:val="0"/>
          <w:sz w:val="28"/>
          <w:szCs w:val="28"/>
          <w:highlight w:val="none"/>
        </w:rPr>
        <w:t xml:space="preserve"> 邮编：</w:t>
      </w:r>
    </w:p>
    <w:p>
      <w:pPr>
        <w:widowControl/>
        <w:jc w:val="left"/>
        <w:rPr>
          <w:rFonts w:hint="eastAsia" w:hAnsi="宋体" w:eastAsia="宋体" w:cs="宋体"/>
          <w:kern w:val="0"/>
          <w:sz w:val="28"/>
          <w:szCs w:val="28"/>
          <w:highlight w:val="none"/>
          <w:lang w:eastAsia="zh-CN"/>
        </w:rPr>
      </w:pPr>
      <w:r>
        <w:rPr>
          <w:rFonts w:hint="eastAsia" w:hAnsi="宋体" w:cs="仿宋_GB2312"/>
          <w:kern w:val="0"/>
          <w:sz w:val="28"/>
          <w:szCs w:val="28"/>
          <w:highlight w:val="none"/>
        </w:rPr>
        <w:t>法定代表人：</w:t>
      </w:r>
      <w:r>
        <w:rPr>
          <w:rFonts w:hint="eastAsia" w:hAnsi="宋体" w:cs="仿宋_GB2312"/>
          <w:kern w:val="0"/>
          <w:sz w:val="28"/>
          <w:szCs w:val="28"/>
          <w:highlight w:val="none"/>
          <w:lang w:val="en-US" w:eastAsia="zh-CN"/>
        </w:rPr>
        <w:t xml:space="preserve">      </w:t>
      </w:r>
      <w:r>
        <w:rPr>
          <w:rFonts w:hint="eastAsia" w:hAnsi="宋体" w:cs="仿宋_GB2312"/>
          <w:kern w:val="0"/>
          <w:sz w:val="28"/>
          <w:szCs w:val="28"/>
          <w:highlight w:val="none"/>
        </w:rPr>
        <w:t>联系电话</w:t>
      </w:r>
      <w:r>
        <w:rPr>
          <w:rFonts w:hint="eastAsia" w:hAnsi="宋体" w:cs="仿宋_GB2312"/>
          <w:kern w:val="0"/>
          <w:sz w:val="28"/>
          <w:szCs w:val="28"/>
          <w:highlight w:val="none"/>
          <w:lang w:eastAsia="zh-CN"/>
        </w:rPr>
        <w:t>：</w:t>
      </w:r>
    </w:p>
    <w:p>
      <w:pPr>
        <w:widowControl/>
        <w:jc w:val="left"/>
        <w:rPr>
          <w:rFonts w:hAnsi="宋体" w:cs="宋体"/>
          <w:kern w:val="0"/>
          <w:sz w:val="28"/>
          <w:szCs w:val="28"/>
          <w:highlight w:val="none"/>
        </w:rPr>
      </w:pPr>
      <w:r>
        <w:rPr>
          <w:rFonts w:hint="eastAsia" w:hAnsi="宋体" w:cs="仿宋_GB2312"/>
          <w:kern w:val="0"/>
          <w:sz w:val="28"/>
          <w:szCs w:val="28"/>
          <w:highlight w:val="none"/>
        </w:rPr>
        <w:t>异议人授权代表：</w:t>
      </w:r>
      <w:r>
        <w:rPr>
          <w:rFonts w:hint="eastAsia" w:hAnsi="宋体" w:cs="仿宋_GB2312"/>
          <w:kern w:val="0"/>
          <w:sz w:val="28"/>
          <w:szCs w:val="28"/>
          <w:highlight w:val="none"/>
          <w:lang w:val="en-US" w:eastAsia="zh-CN"/>
        </w:rPr>
        <w:t xml:space="preserve">   </w:t>
      </w:r>
      <w:r>
        <w:rPr>
          <w:rFonts w:hAnsi="宋体" w:cs="仿宋_GB2312"/>
          <w:kern w:val="0"/>
          <w:sz w:val="28"/>
          <w:szCs w:val="28"/>
          <w:highlight w:val="none"/>
        </w:rPr>
        <w:t xml:space="preserve"> 性别：</w:t>
      </w:r>
    </w:p>
    <w:p>
      <w:pPr>
        <w:widowControl/>
        <w:jc w:val="left"/>
        <w:rPr>
          <w:rFonts w:hAnsi="宋体" w:cs="宋体"/>
          <w:kern w:val="0"/>
          <w:sz w:val="28"/>
          <w:szCs w:val="28"/>
          <w:highlight w:val="none"/>
        </w:rPr>
      </w:pPr>
      <w:r>
        <w:rPr>
          <w:rFonts w:hint="eastAsia" w:hAnsi="宋体" w:cs="仿宋_GB2312"/>
          <w:kern w:val="0"/>
          <w:sz w:val="28"/>
          <w:szCs w:val="28"/>
          <w:highlight w:val="none"/>
        </w:rPr>
        <w:t>住址：</w:t>
      </w:r>
      <w:r>
        <w:rPr>
          <w:rFonts w:hint="eastAsia" w:hAnsi="宋体" w:cs="仿宋_GB2312"/>
          <w:kern w:val="0"/>
          <w:sz w:val="28"/>
          <w:szCs w:val="28"/>
          <w:highlight w:val="none"/>
          <w:lang w:val="en-US" w:eastAsia="zh-CN"/>
        </w:rPr>
        <w:t xml:space="preserve">             </w:t>
      </w:r>
      <w:r>
        <w:rPr>
          <w:rFonts w:hint="eastAsia" w:hAnsi="宋体" w:cs="仿宋_GB2312"/>
          <w:kern w:val="0"/>
          <w:sz w:val="28"/>
          <w:szCs w:val="28"/>
          <w:highlight w:val="none"/>
        </w:rPr>
        <w:t>联系电话：</w:t>
      </w:r>
    </w:p>
    <w:p>
      <w:pPr>
        <w:widowControl/>
        <w:jc w:val="left"/>
        <w:rPr>
          <w:rFonts w:hAnsi="宋体" w:cs="宋体"/>
          <w:kern w:val="0"/>
          <w:sz w:val="28"/>
          <w:szCs w:val="28"/>
          <w:highlight w:val="none"/>
        </w:rPr>
      </w:pPr>
      <w:r>
        <w:rPr>
          <w:rFonts w:hint="eastAsia" w:hAnsi="宋体" w:cs="仿宋_GB2312"/>
          <w:bCs/>
          <w:kern w:val="0"/>
          <w:sz w:val="28"/>
          <w:szCs w:val="28"/>
          <w:highlight w:val="none"/>
        </w:rPr>
        <w:t>提起异议事项的基本事实：</w:t>
      </w:r>
    </w:p>
    <w:p>
      <w:pPr>
        <w:widowControl/>
        <w:jc w:val="left"/>
        <w:rPr>
          <w:rFonts w:hAnsi="宋体" w:cs="宋体"/>
          <w:kern w:val="0"/>
          <w:sz w:val="28"/>
          <w:szCs w:val="28"/>
          <w:highlight w:val="none"/>
        </w:rPr>
      </w:pPr>
    </w:p>
    <w:p>
      <w:pPr>
        <w:widowControl/>
        <w:jc w:val="left"/>
        <w:rPr>
          <w:rFonts w:hAnsi="宋体" w:cs="宋体"/>
          <w:kern w:val="0"/>
          <w:sz w:val="28"/>
          <w:szCs w:val="28"/>
          <w:highlight w:val="none"/>
        </w:rPr>
      </w:pPr>
      <w:r>
        <w:rPr>
          <w:rFonts w:hint="eastAsia" w:hAnsi="宋体" w:cs="仿宋_GB2312"/>
          <w:bCs/>
          <w:kern w:val="0"/>
          <w:sz w:val="28"/>
          <w:szCs w:val="28"/>
          <w:highlight w:val="none"/>
        </w:rPr>
        <w:t>相关请求及主张：</w:t>
      </w:r>
    </w:p>
    <w:p>
      <w:pPr>
        <w:widowControl/>
        <w:jc w:val="left"/>
        <w:rPr>
          <w:rFonts w:hAnsi="宋体" w:cs="仿宋_GB2312"/>
          <w:kern w:val="0"/>
          <w:sz w:val="28"/>
          <w:szCs w:val="28"/>
          <w:highlight w:val="none"/>
          <w:u w:val="single"/>
        </w:rPr>
      </w:pPr>
    </w:p>
    <w:p>
      <w:pPr>
        <w:widowControl/>
        <w:jc w:val="left"/>
        <w:rPr>
          <w:rFonts w:hAnsi="宋体" w:cs="宋体"/>
          <w:kern w:val="0"/>
          <w:sz w:val="28"/>
          <w:szCs w:val="28"/>
          <w:highlight w:val="none"/>
        </w:rPr>
      </w:pPr>
      <w:r>
        <w:rPr>
          <w:rFonts w:hint="eastAsia" w:hAnsi="宋体" w:cs="仿宋_GB2312"/>
          <w:bCs/>
          <w:kern w:val="0"/>
          <w:sz w:val="28"/>
          <w:szCs w:val="28"/>
          <w:highlight w:val="none"/>
        </w:rPr>
        <w:t>有效线索和相关证明材料：</w:t>
      </w:r>
    </w:p>
    <w:p>
      <w:pPr>
        <w:widowControl/>
        <w:jc w:val="left"/>
        <w:rPr>
          <w:rFonts w:hAnsi="宋体" w:cs="仿宋_GB2312"/>
          <w:kern w:val="0"/>
          <w:sz w:val="28"/>
          <w:szCs w:val="28"/>
          <w:highlight w:val="none"/>
          <w:u w:val="single"/>
        </w:rPr>
      </w:pPr>
    </w:p>
    <w:p>
      <w:pPr>
        <w:widowControl/>
        <w:jc w:val="left"/>
        <w:rPr>
          <w:rFonts w:hAnsi="宋体" w:cs="宋体"/>
          <w:kern w:val="0"/>
          <w:sz w:val="28"/>
          <w:szCs w:val="28"/>
          <w:highlight w:val="none"/>
        </w:rPr>
      </w:pPr>
      <w:r>
        <w:rPr>
          <w:rFonts w:hint="eastAsia" w:hAnsi="宋体" w:cs="仿宋_GB2312"/>
          <w:bCs/>
          <w:kern w:val="0"/>
          <w:sz w:val="28"/>
          <w:szCs w:val="28"/>
          <w:highlight w:val="none"/>
        </w:rPr>
        <w:t>异议提起人与项目有利害关系的证明材料（见说明）：</w:t>
      </w:r>
    </w:p>
    <w:p>
      <w:pPr>
        <w:widowControl/>
        <w:jc w:val="left"/>
        <w:rPr>
          <w:rFonts w:hAnsi="宋体" w:cs="宋体"/>
          <w:kern w:val="0"/>
          <w:sz w:val="28"/>
          <w:szCs w:val="28"/>
          <w:highlight w:val="none"/>
        </w:rPr>
      </w:pPr>
      <w:r>
        <w:rPr>
          <w:rFonts w:hAnsi="宋体" w:cs="仿宋_GB2312"/>
          <w:kern w:val="0"/>
          <w:sz w:val="28"/>
          <w:szCs w:val="28"/>
          <w:highlight w:val="none"/>
        </w:rPr>
        <w:t xml:space="preserve">  此致</w:t>
      </w:r>
    </w:p>
    <w:p>
      <w:pPr>
        <w:widowControl/>
        <w:jc w:val="left"/>
        <w:rPr>
          <w:rFonts w:hAnsi="宋体" w:cs="宋体"/>
          <w:kern w:val="0"/>
          <w:sz w:val="28"/>
          <w:szCs w:val="28"/>
          <w:highlight w:val="none"/>
        </w:rPr>
      </w:pPr>
      <w:r>
        <w:rPr>
          <w:rFonts w:hint="eastAsia" w:hAnsi="宋体" w:cs="仿宋_GB2312"/>
          <w:kern w:val="0"/>
          <w:sz w:val="28"/>
          <w:szCs w:val="28"/>
          <w:highlight w:val="none"/>
          <w:u w:val="single"/>
        </w:rPr>
        <w:t>（采购人）</w:t>
      </w:r>
    </w:p>
    <w:p>
      <w:pPr>
        <w:widowControl/>
        <w:ind w:left="99" w:leftChars="47" w:firstLine="2800" w:firstLineChars="1000"/>
        <w:jc w:val="left"/>
        <w:rPr>
          <w:rFonts w:hAnsi="宋体" w:cs="仿宋_GB2312"/>
          <w:kern w:val="0"/>
          <w:sz w:val="28"/>
          <w:szCs w:val="28"/>
          <w:highlight w:val="none"/>
        </w:rPr>
      </w:pPr>
    </w:p>
    <w:p>
      <w:pPr>
        <w:widowControl/>
        <w:ind w:left="99" w:leftChars="47" w:firstLine="2800" w:firstLineChars="1000"/>
        <w:jc w:val="left"/>
        <w:rPr>
          <w:rFonts w:hAnsi="宋体" w:cs="仿宋_GB2312"/>
          <w:kern w:val="0"/>
          <w:sz w:val="28"/>
          <w:szCs w:val="28"/>
          <w:highlight w:val="none"/>
        </w:rPr>
      </w:pPr>
    </w:p>
    <w:p>
      <w:pPr>
        <w:widowControl/>
        <w:ind w:left="99" w:leftChars="47" w:firstLine="2800" w:firstLineChars="1000"/>
        <w:jc w:val="left"/>
        <w:rPr>
          <w:rFonts w:hAnsi="宋体" w:cs="宋体"/>
          <w:kern w:val="0"/>
          <w:sz w:val="28"/>
          <w:szCs w:val="28"/>
          <w:highlight w:val="none"/>
        </w:rPr>
      </w:pPr>
      <w:r>
        <w:rPr>
          <w:rFonts w:hint="eastAsia" w:hAnsi="宋体" w:cs="仿宋_GB2312"/>
          <w:kern w:val="0"/>
          <w:sz w:val="28"/>
          <w:szCs w:val="28"/>
          <w:highlight w:val="none"/>
        </w:rPr>
        <w:t>异议人（公章）：</w:t>
      </w:r>
    </w:p>
    <w:p>
      <w:pPr>
        <w:widowControl/>
        <w:ind w:left="99" w:leftChars="47" w:firstLine="1960" w:firstLineChars="700"/>
        <w:jc w:val="left"/>
        <w:rPr>
          <w:rFonts w:hAnsi="宋体" w:cs="仿宋_GB2312"/>
          <w:kern w:val="0"/>
          <w:sz w:val="28"/>
          <w:szCs w:val="28"/>
          <w:highlight w:val="none"/>
        </w:rPr>
      </w:pPr>
    </w:p>
    <w:p>
      <w:pPr>
        <w:widowControl/>
        <w:ind w:left="99" w:leftChars="47" w:firstLine="1960" w:firstLineChars="700"/>
        <w:jc w:val="left"/>
        <w:rPr>
          <w:rFonts w:hAnsi="宋体" w:cs="仿宋_GB2312"/>
          <w:kern w:val="0"/>
          <w:sz w:val="28"/>
          <w:szCs w:val="28"/>
          <w:highlight w:val="none"/>
          <w:u w:val="single"/>
        </w:rPr>
      </w:pPr>
      <w:r>
        <w:rPr>
          <w:rFonts w:hint="eastAsia" w:hAnsi="宋体" w:cs="仿宋_GB2312"/>
          <w:kern w:val="0"/>
          <w:sz w:val="28"/>
          <w:szCs w:val="28"/>
          <w:highlight w:val="none"/>
        </w:rPr>
        <w:t>法定代表人或授权代表（签字）</w:t>
      </w:r>
    </w:p>
    <w:p>
      <w:pPr>
        <w:widowControl/>
        <w:ind w:left="99" w:leftChars="47" w:firstLine="1960" w:firstLineChars="700"/>
        <w:jc w:val="left"/>
        <w:rPr>
          <w:rFonts w:hAnsi="宋体" w:cs="仿宋_GB2312"/>
          <w:kern w:val="0"/>
          <w:sz w:val="28"/>
          <w:szCs w:val="28"/>
          <w:highlight w:val="none"/>
          <w:u w:val="single"/>
        </w:rPr>
      </w:pPr>
    </w:p>
    <w:p>
      <w:pPr>
        <w:widowControl/>
        <w:ind w:firstLine="560" w:firstLineChars="200"/>
        <w:jc w:val="center"/>
        <w:rPr>
          <w:rFonts w:hAnsi="宋体" w:cs="宋体"/>
          <w:kern w:val="0"/>
          <w:sz w:val="28"/>
          <w:szCs w:val="28"/>
          <w:highlight w:val="none"/>
        </w:rPr>
      </w:pPr>
      <w:r>
        <w:rPr>
          <w:rFonts w:hAnsi="宋体" w:cs="仿宋_GB2312"/>
          <w:kern w:val="0"/>
          <w:sz w:val="28"/>
          <w:szCs w:val="28"/>
          <w:highlight w:val="none"/>
        </w:rPr>
        <w:t xml:space="preserve">                                     年    月   日</w:t>
      </w:r>
    </w:p>
    <w:p>
      <w:pPr>
        <w:widowControl/>
        <w:jc w:val="left"/>
        <w:rPr>
          <w:rFonts w:hAnsi="宋体" w:cs="仿宋_GB2312"/>
          <w:bCs/>
          <w:kern w:val="0"/>
          <w:sz w:val="24"/>
          <w:highlight w:val="none"/>
        </w:rPr>
      </w:pPr>
    </w:p>
    <w:p>
      <w:pPr>
        <w:rPr>
          <w:rFonts w:hAnsi="仿宋"/>
          <w:sz w:val="24"/>
          <w:highlight w:val="none"/>
        </w:rPr>
      </w:pPr>
      <w:r>
        <w:rPr>
          <w:rFonts w:hint="eastAsia" w:hAnsi="仿宋"/>
          <w:sz w:val="24"/>
          <w:highlight w:val="none"/>
        </w:rPr>
        <w:t>说明：</w:t>
      </w:r>
    </w:p>
    <w:p>
      <w:pPr>
        <w:rPr>
          <w:rFonts w:hAnsi="仿宋"/>
          <w:sz w:val="24"/>
          <w:highlight w:val="none"/>
        </w:rPr>
      </w:pPr>
    </w:p>
    <w:p>
      <w:pPr>
        <w:rPr>
          <w:rFonts w:hAnsi="仿宋"/>
          <w:sz w:val="24"/>
          <w:highlight w:val="none"/>
        </w:rPr>
      </w:pPr>
      <w:r>
        <w:rPr>
          <w:rFonts w:hAnsi="仿宋"/>
          <w:sz w:val="24"/>
          <w:highlight w:val="none"/>
        </w:rPr>
        <w:t>1.异议提起人是法人的，异议书必须由其法定代表人或者授权代表签字并盖章；其他组织或者自然人提出异议的，异议书必须由其主要负责人或者异议提起人本人签字，并附有效身份证明复印件。</w:t>
      </w:r>
    </w:p>
    <w:p>
      <w:pPr>
        <w:rPr>
          <w:rFonts w:hAnsi="仿宋"/>
          <w:sz w:val="24"/>
          <w:highlight w:val="none"/>
        </w:rPr>
      </w:pPr>
      <w:r>
        <w:rPr>
          <w:rFonts w:hAnsi="仿宋"/>
          <w:sz w:val="24"/>
          <w:highlight w:val="none"/>
        </w:rPr>
        <w:t>2.异议提起人可以自己直接提交异议书，也可以委托代理人办理异议事务。代理人办理异议事务时，应当将授权委托书连同异议书一并提交给招标人。授权委托书应当明确有关委托代理权限和事项。</w:t>
      </w:r>
    </w:p>
    <w:p>
      <w:pPr>
        <w:rPr>
          <w:rFonts w:hAnsi="仿宋"/>
          <w:sz w:val="24"/>
          <w:highlight w:val="none"/>
        </w:rPr>
      </w:pPr>
      <w:r>
        <w:rPr>
          <w:rFonts w:hAnsi="仿宋"/>
          <w:sz w:val="24"/>
          <w:highlight w:val="none"/>
        </w:rPr>
        <w:t>3.为证明与异议项目有利害关系，投标人以外的其他异议提起人应当提供相应证明材料：</w:t>
      </w:r>
    </w:p>
    <w:p>
      <w:pPr>
        <w:rPr>
          <w:rFonts w:hAnsi="仿宋"/>
          <w:sz w:val="24"/>
          <w:highlight w:val="none"/>
        </w:rPr>
      </w:pPr>
      <w:r>
        <w:rPr>
          <w:rFonts w:hint="eastAsia" w:hAnsi="仿宋"/>
          <w:sz w:val="24"/>
          <w:highlight w:val="none"/>
        </w:rPr>
        <w:t>（</w:t>
      </w:r>
      <w:r>
        <w:rPr>
          <w:rFonts w:hAnsi="仿宋"/>
          <w:sz w:val="24"/>
          <w:highlight w:val="none"/>
        </w:rPr>
        <w:t>1）属潜在投标人的，提交符合法定有关资格要求的证明文件；</w:t>
      </w:r>
    </w:p>
    <w:p>
      <w:pPr>
        <w:rPr>
          <w:rFonts w:hAnsi="仿宋"/>
          <w:sz w:val="24"/>
          <w:highlight w:val="none"/>
        </w:rPr>
      </w:pPr>
      <w:r>
        <w:rPr>
          <w:rFonts w:hint="eastAsia" w:hAnsi="仿宋"/>
          <w:sz w:val="24"/>
          <w:highlight w:val="none"/>
        </w:rPr>
        <w:t>（</w:t>
      </w:r>
      <w:r>
        <w:rPr>
          <w:rFonts w:hAnsi="仿宋"/>
          <w:sz w:val="24"/>
          <w:highlight w:val="none"/>
        </w:rPr>
        <w:t>2）属特定分包人或者供应商的，提交证明其与该项目投标人绑定投标的附条件生效协议以及能证明其能履行该协议项下的合同义务的能力的证明文件。</w:t>
      </w:r>
      <w:r>
        <w:rPr>
          <w:rFonts w:hAnsi="仿宋"/>
          <w:sz w:val="24"/>
          <w:highlight w:val="none"/>
        </w:rPr>
        <w:tab/>
      </w:r>
    </w:p>
    <w:p>
      <w:pPr>
        <w:rPr>
          <w:rFonts w:hAnsi="仿宋"/>
          <w:sz w:val="24"/>
          <w:highlight w:val="none"/>
        </w:rPr>
      </w:pPr>
      <w:r>
        <w:rPr>
          <w:rFonts w:hint="eastAsia" w:hAnsi="仿宋"/>
          <w:sz w:val="24"/>
          <w:highlight w:val="none"/>
        </w:rPr>
        <w:t>（</w:t>
      </w:r>
      <w:r>
        <w:rPr>
          <w:rFonts w:hAnsi="仿宋"/>
          <w:sz w:val="24"/>
          <w:highlight w:val="none"/>
        </w:rPr>
        <w:t>3）可证明与异议项目有利害关系的其他证明文件。</w:t>
      </w:r>
    </w:p>
    <w:p/>
    <w:p>
      <w:pPr>
        <w:pStyle w:val="22"/>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22"/>
        <w:rPr>
          <w:rFonts w:ascii="仿宋_GB2312" w:eastAsia="仿宋_GB2312"/>
          <w:color w:val="auto"/>
          <w:sz w:val="28"/>
          <w:szCs w:val="28"/>
          <w:highlight w:val="none"/>
        </w:rPr>
      </w:pPr>
    </w:p>
    <w:p>
      <w:pPr>
        <w:pStyle w:val="22"/>
        <w:rPr>
          <w:rFonts w:ascii="仿宋_GB2312" w:eastAsia="仿宋_GB2312"/>
          <w:color w:val="auto"/>
          <w:sz w:val="28"/>
          <w:szCs w:val="28"/>
          <w:highlight w:val="none"/>
        </w:rPr>
      </w:pPr>
    </w:p>
    <w:p>
      <w:pPr>
        <w:pStyle w:val="22"/>
        <w:rPr>
          <w:rFonts w:ascii="仿宋_GB2312" w:eastAsia="仿宋_GB2312"/>
          <w:color w:val="auto"/>
          <w:sz w:val="28"/>
          <w:szCs w:val="28"/>
          <w:highlight w:val="none"/>
        </w:rPr>
      </w:pPr>
    </w:p>
    <w:p>
      <w:pPr>
        <w:pStyle w:val="22"/>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4"/>
        <w:rPr>
          <w:rFonts w:hint="eastAsia" w:asciiTheme="minorHAnsi" w:hAnsiTheme="minorHAnsi" w:cstheme="minorBidi"/>
          <w:color w:val="auto"/>
          <w:kern w:val="44"/>
          <w:sz w:val="44"/>
          <w:szCs w:val="44"/>
          <w:highlight w:val="none"/>
        </w:rPr>
      </w:pPr>
      <w:bookmarkStart w:id="26" w:name="_Toc2867"/>
      <w:bookmarkStart w:id="27" w:name="_Toc21455"/>
      <w:r>
        <w:rPr>
          <w:rFonts w:hint="eastAsia" w:asciiTheme="minorHAnsi" w:hAnsiTheme="minorHAnsi" w:cstheme="minorBidi"/>
          <w:color w:val="auto"/>
          <w:kern w:val="44"/>
          <w:sz w:val="44"/>
          <w:szCs w:val="44"/>
          <w:highlight w:val="none"/>
        </w:rPr>
        <w:pict>
          <v:shape id="_x0000_s2053" o:spid="_x0000_s2053" o:spt="32" type="#_x0000_t32" style="position:absolute;left:0pt;margin-left:182.55pt;margin-top:46.25pt;height:0pt;width:75.5pt;z-index:251663360;mso-width-relative:page;mso-height-relative:page;" o:connectortype="straight" filled="f" coordsize="21600,21600">
            <v:path arrowok="t"/>
            <v:fill on="f" focussize="0,0"/>
            <v:stroke/>
            <v:imagedata o:title=""/>
            <o:lock v:ext="edit"/>
          </v:shape>
        </w:pict>
      </w:r>
      <w:r>
        <w:rPr>
          <w:rFonts w:hint="eastAsia" w:asciiTheme="minorHAnsi" w:hAnsiTheme="minorHAnsi" w:cstheme="minorBidi"/>
          <w:color w:val="auto"/>
          <w:kern w:val="44"/>
          <w:sz w:val="44"/>
          <w:szCs w:val="44"/>
          <w:highlight w:val="none"/>
        </w:rPr>
        <w:pict>
          <v:shape id="_x0000_s2051" o:spid="_x0000_s2051" o:spt="32" type="#_x0000_t32" style="position:absolute;left:0pt;margin-left:183.1pt;margin-top:10.85pt;height:0pt;width:75.5pt;z-index:251662336;mso-width-relative:page;mso-height-relative:page;" o:connectortype="straight" filled="f" coordsize="21600,21600">
            <v:path arrowok="t"/>
            <v:fill on="f" focussize="0,0"/>
            <v:stroke/>
            <v:imagedata o:title=""/>
            <o:lock v:ext="edit"/>
          </v:shape>
        </w:pict>
      </w:r>
      <w:r>
        <w:rPr>
          <w:rFonts w:hint="eastAsia" w:asciiTheme="minorHAnsi" w:hAnsiTheme="minorHAnsi" w:cstheme="minorBidi"/>
          <w:color w:val="auto"/>
          <w:kern w:val="44"/>
          <w:sz w:val="44"/>
          <w:szCs w:val="44"/>
          <w:highlight w:val="none"/>
        </w:rPr>
        <w:t>第</w:t>
      </w:r>
      <w:r>
        <w:rPr>
          <w:rFonts w:hint="eastAsia" w:asciiTheme="minorHAnsi" w:hAnsiTheme="minorHAnsi" w:cstheme="minorBidi"/>
          <w:color w:val="auto"/>
          <w:kern w:val="44"/>
          <w:sz w:val="44"/>
          <w:szCs w:val="44"/>
          <w:highlight w:val="none"/>
          <w:lang w:eastAsia="zh-CN"/>
        </w:rPr>
        <w:t>三</w:t>
      </w:r>
      <w:r>
        <w:rPr>
          <w:rFonts w:hint="eastAsia" w:asciiTheme="minorHAnsi" w:hAnsiTheme="minorHAnsi" w:cstheme="minorBidi"/>
          <w:color w:val="auto"/>
          <w:kern w:val="44"/>
          <w:sz w:val="44"/>
          <w:szCs w:val="44"/>
          <w:highlight w:val="none"/>
        </w:rPr>
        <w:t>章</w:t>
      </w:r>
      <w:bookmarkEnd w:id="26"/>
      <w:bookmarkEnd w:id="27"/>
    </w:p>
    <w:p>
      <w:pPr>
        <w:pStyle w:val="36"/>
        <w:rPr>
          <w:color w:val="auto"/>
          <w:highlight w:val="none"/>
        </w:rPr>
      </w:pPr>
    </w:p>
    <w:p>
      <w:pPr>
        <w:pStyle w:val="4"/>
        <w:rPr>
          <w:color w:val="auto"/>
          <w:highlight w:val="none"/>
        </w:rPr>
      </w:pPr>
      <w:bookmarkStart w:id="28" w:name="_Toc7303"/>
      <w:bookmarkStart w:id="29" w:name="_Toc88209934"/>
      <w:bookmarkStart w:id="30" w:name="_Toc7040"/>
      <w:bookmarkStart w:id="31" w:name="_Toc87616371"/>
      <w:r>
        <w:rPr>
          <w:rFonts w:hint="eastAsia"/>
          <w:color w:val="auto"/>
          <w:highlight w:val="none"/>
        </w:rPr>
        <w:t>采购方法</w:t>
      </w:r>
      <w:bookmarkEnd w:id="28"/>
      <w:bookmarkEnd w:id="29"/>
      <w:bookmarkEnd w:id="30"/>
      <w:bookmarkEnd w:id="31"/>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2"/>
        <w:rPr>
          <w:rFonts w:ascii="方正小标宋简体" w:eastAsia="方正小标宋简体"/>
          <w:color w:val="auto"/>
          <w:sz w:val="44"/>
          <w:szCs w:val="44"/>
          <w:highlight w:val="none"/>
        </w:rPr>
      </w:pPr>
    </w:p>
    <w:p>
      <w:pPr>
        <w:pStyle w:val="22"/>
        <w:rPr>
          <w:rFonts w:ascii="方正小标宋简体" w:eastAsia="方正小标宋简体"/>
          <w:color w:val="auto"/>
          <w:sz w:val="44"/>
          <w:szCs w:val="44"/>
          <w:highlight w:val="none"/>
        </w:rPr>
      </w:pPr>
    </w:p>
    <w:p>
      <w:pPr>
        <w:pStyle w:val="22"/>
        <w:rPr>
          <w:rFonts w:ascii="方正小标宋简体" w:eastAsia="方正小标宋简体"/>
          <w:color w:val="auto"/>
          <w:sz w:val="44"/>
          <w:szCs w:val="44"/>
          <w:highlight w:val="none"/>
        </w:rPr>
      </w:pPr>
    </w:p>
    <w:p>
      <w:pPr>
        <w:pStyle w:val="22"/>
        <w:rPr>
          <w:rFonts w:ascii="方正小标宋简体" w:eastAsia="方正小标宋简体"/>
          <w:color w:val="auto"/>
          <w:sz w:val="44"/>
          <w:szCs w:val="44"/>
          <w:highlight w:val="none"/>
        </w:rPr>
      </w:pPr>
    </w:p>
    <w:p>
      <w:pPr>
        <w:pStyle w:val="22"/>
        <w:ind w:firstLine="0"/>
        <w:rPr>
          <w:rFonts w:ascii="方正小标宋简体" w:eastAsia="方正小标宋简体"/>
          <w:color w:val="auto"/>
          <w:sz w:val="44"/>
          <w:szCs w:val="44"/>
          <w:highlight w:val="none"/>
        </w:rPr>
      </w:pPr>
    </w:p>
    <w:p>
      <w:pPr>
        <w:pStyle w:val="4"/>
        <w:rPr>
          <w:color w:val="auto"/>
          <w:highlight w:val="none"/>
        </w:rPr>
      </w:pPr>
      <w:bookmarkStart w:id="32" w:name="_Toc3789"/>
      <w:bookmarkStart w:id="33" w:name="_Toc24895"/>
      <w:r>
        <w:rPr>
          <w:rFonts w:hint="eastAsia"/>
          <w:color w:val="auto"/>
          <w:highlight w:val="none"/>
        </w:rPr>
        <w:t>询比采购</w:t>
      </w:r>
      <w:bookmarkEnd w:id="32"/>
      <w:bookmarkEnd w:id="33"/>
    </w:p>
    <w:p>
      <w:pPr>
        <w:adjustRightInd w:val="0"/>
        <w:snapToGrid w:val="0"/>
        <w:spacing w:line="600" w:lineRule="exact"/>
        <w:jc w:val="left"/>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询比</w:t>
      </w:r>
    </w:p>
    <w:tbl>
      <w:tblPr>
        <w:tblStyle w:val="24"/>
        <w:tblW w:w="8897"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793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18" w:hRule="atLeast"/>
        </w:trPr>
        <w:tc>
          <w:tcPr>
            <w:tcW w:w="959" w:type="dxa"/>
            <w:tcBorders>
              <w:top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1.采购准备</w:t>
            </w:r>
          </w:p>
        </w:tc>
        <w:tc>
          <w:tcPr>
            <w:tcW w:w="7938" w:type="dxa"/>
            <w:tcBorders>
              <w:top w:val="single" w:color="auto" w:sz="4" w:space="0"/>
            </w:tcBorders>
            <w:vAlign w:val="center"/>
          </w:tcPr>
          <w:p>
            <w:pPr>
              <w:adjustRightInd w:val="0"/>
              <w:snapToGrid w:val="0"/>
              <w:ind w:left="0" w:firstLine="0" w:firstLineChars="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 xml:space="preserve"> </w:t>
            </w:r>
            <w:r>
              <w:rPr>
                <w:rFonts w:hint="eastAsia" w:ascii="仿宋_GB2312" w:eastAsia="仿宋_GB2312" w:hAnsiTheme="minorEastAsia"/>
                <w:color w:val="auto"/>
                <w:sz w:val="24"/>
                <w:szCs w:val="24"/>
                <w:highlight w:val="none"/>
                <w:u w:val="single"/>
                <w:lang w:val="en-US" w:eastAsia="zh-CN"/>
              </w:rPr>
              <w:t xml:space="preserve"> </w:t>
            </w: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1</w:t>
            </w:r>
            <w:r>
              <w:rPr>
                <w:rFonts w:hint="eastAsia" w:ascii="仿宋_GB2312" w:eastAsia="仿宋_GB2312" w:hAnsiTheme="minorEastAsia"/>
                <w:color w:val="auto"/>
                <w:sz w:val="24"/>
                <w:szCs w:val="24"/>
                <w:highlight w:val="none"/>
              </w:rPr>
              <w:t xml:space="preserve"> 在采购文件约定的时间、地点，供应商应向采购人提交响应文件；响应文件按照采购文件第二章供应商须知2.</w:t>
            </w:r>
            <w:r>
              <w:rPr>
                <w:rFonts w:hint="eastAsia" w:ascii="仿宋_GB2312" w:eastAsia="仿宋_GB2312" w:hAnsiTheme="minorEastAsia"/>
                <w:color w:val="auto"/>
                <w:sz w:val="24"/>
                <w:szCs w:val="24"/>
                <w:highlight w:val="none"/>
                <w:lang w:val="en-US" w:eastAsia="zh-CN"/>
              </w:rPr>
              <w:t>9</w:t>
            </w:r>
            <w:r>
              <w:rPr>
                <w:rFonts w:hint="eastAsia" w:ascii="仿宋_GB2312" w:eastAsia="仿宋_GB2312" w:hAnsiTheme="minorEastAsia"/>
                <w:color w:val="auto"/>
                <w:sz w:val="24"/>
                <w:szCs w:val="24"/>
                <w:highlight w:val="none"/>
              </w:rPr>
              <w:t>的要求密封，按照2.</w:t>
            </w:r>
            <w:r>
              <w:rPr>
                <w:rFonts w:hint="eastAsia" w:ascii="仿宋_GB2312" w:eastAsia="仿宋_GB2312" w:hAnsiTheme="minorEastAsia"/>
                <w:color w:val="auto"/>
                <w:sz w:val="24"/>
                <w:szCs w:val="24"/>
                <w:highlight w:val="none"/>
                <w:lang w:val="en-US" w:eastAsia="zh-CN"/>
              </w:rPr>
              <w:t>10</w:t>
            </w:r>
            <w:r>
              <w:rPr>
                <w:rFonts w:hint="eastAsia" w:ascii="仿宋_GB2312" w:eastAsia="仿宋_GB2312" w:hAnsiTheme="minorEastAsia"/>
                <w:color w:val="auto"/>
                <w:sz w:val="24"/>
                <w:szCs w:val="24"/>
                <w:highlight w:val="none"/>
              </w:rPr>
              <w:t>的规定提交</w:t>
            </w:r>
          </w:p>
          <w:p>
            <w:pPr>
              <w:adjustRightInd w:val="0"/>
              <w:snapToGrid w:val="0"/>
              <w:ind w:left="480" w:hanging="480" w:hangingChars="20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2</w:t>
            </w:r>
            <w:r>
              <w:rPr>
                <w:rFonts w:hint="eastAsia" w:ascii="仿宋_GB2312" w:eastAsia="仿宋_GB2312" w:hAnsiTheme="minorEastAsia"/>
                <w:color w:val="auto"/>
                <w:sz w:val="24"/>
                <w:szCs w:val="24"/>
                <w:highlight w:val="none"/>
              </w:rPr>
              <w:t xml:space="preserve"> 资格审查执行第二章供应商须知1</w:t>
            </w:r>
            <w:r>
              <w:rPr>
                <w:rFonts w:hint="eastAsia" w:ascii="仿宋_GB2312" w:eastAsia="仿宋_GB2312" w:hAnsiTheme="minorEastAsia"/>
                <w:color w:val="auto"/>
                <w:sz w:val="24"/>
                <w:szCs w:val="24"/>
                <w:highlight w:val="none"/>
                <w:lang w:val="en-US" w:eastAsia="zh-CN"/>
              </w:rPr>
              <w:t>.</w:t>
            </w:r>
            <w:r>
              <w:rPr>
                <w:rFonts w:hint="eastAsia" w:ascii="仿宋_GB2312" w:eastAsia="仿宋_GB2312" w:hAnsiTheme="minorEastAsia"/>
                <w:color w:val="auto"/>
                <w:sz w:val="24"/>
                <w:szCs w:val="24"/>
                <w:highlight w:val="none"/>
              </w:rPr>
              <w:t>对供应商的资格要求</w:t>
            </w:r>
          </w:p>
          <w:p>
            <w:pPr>
              <w:adjustRightInd w:val="0"/>
              <w:snapToGrid w:val="0"/>
              <w:ind w:left="480" w:hanging="480" w:hangingChars="200"/>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3</w:t>
            </w:r>
            <w:r>
              <w:rPr>
                <w:rFonts w:hint="eastAsia" w:ascii="仿宋_GB2312" w:eastAsia="仿宋_GB2312" w:hAnsiTheme="minorEastAsia"/>
                <w:color w:val="auto"/>
                <w:sz w:val="24"/>
                <w:szCs w:val="24"/>
                <w:highlight w:val="none"/>
              </w:rPr>
              <w:t xml:space="preserve"> 响应文件提交截止后，</w:t>
            </w:r>
            <w:r>
              <w:rPr>
                <w:rFonts w:hint="eastAsia" w:ascii="仿宋_GB2312" w:eastAsia="仿宋_GB2312" w:hAnsiTheme="minorEastAsia"/>
                <w:color w:val="auto"/>
                <w:sz w:val="24"/>
                <w:szCs w:val="24"/>
                <w:highlight w:val="none"/>
                <w:lang w:val="en-US" w:eastAsia="zh-CN"/>
              </w:rPr>
              <w:t>递交</w:t>
            </w:r>
            <w:r>
              <w:rPr>
                <w:rFonts w:hint="eastAsia" w:ascii="仿宋_GB2312" w:eastAsia="仿宋_GB2312" w:hAnsiTheme="minorEastAsia"/>
                <w:color w:val="auto"/>
                <w:sz w:val="24"/>
                <w:szCs w:val="24"/>
                <w:highlight w:val="none"/>
              </w:rPr>
              <w:t>响应</w:t>
            </w:r>
            <w:r>
              <w:rPr>
                <w:rFonts w:hint="eastAsia" w:ascii="仿宋_GB2312" w:eastAsia="仿宋_GB2312" w:hAnsiTheme="minorEastAsia"/>
                <w:color w:val="auto"/>
                <w:sz w:val="24"/>
                <w:szCs w:val="24"/>
                <w:highlight w:val="none"/>
                <w:lang w:val="en-US" w:eastAsia="zh-CN"/>
              </w:rPr>
              <w:t>文件</w:t>
            </w:r>
            <w:r>
              <w:rPr>
                <w:rFonts w:hint="eastAsia" w:ascii="仿宋_GB2312" w:eastAsia="仿宋_GB2312" w:hAnsiTheme="minorEastAsia"/>
                <w:color w:val="auto"/>
                <w:sz w:val="24"/>
                <w:szCs w:val="24"/>
                <w:highlight w:val="none"/>
              </w:rPr>
              <w:t>供应商不足3家的</w:t>
            </w:r>
            <w:r>
              <w:rPr>
                <w:rFonts w:hint="eastAsia" w:ascii="仿宋_GB2312" w:eastAsia="仿宋_GB2312" w:hAnsiTheme="minorEastAsia"/>
                <w:color w:val="auto"/>
                <w:sz w:val="24"/>
                <w:szCs w:val="24"/>
                <w:highlight w:val="none"/>
                <w:lang w:val="en-US" w:eastAsia="zh-CN"/>
              </w:rPr>
              <w:t>或有效响应文件供应商不足两家</w:t>
            </w:r>
            <w:r>
              <w:rPr>
                <w:rFonts w:hint="eastAsia" w:ascii="仿宋_GB2312" w:eastAsia="仿宋_GB2312" w:hAnsiTheme="minorEastAsia"/>
                <w:color w:val="auto"/>
                <w:sz w:val="24"/>
                <w:szCs w:val="24"/>
                <w:highlight w:val="none"/>
              </w:rPr>
              <w:t>，应分析原因并重新发出采购公告</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lang w:val="en-US" w:eastAsia="zh-CN"/>
              </w:rPr>
              <w:t>邀请书</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或</w:t>
            </w:r>
            <w:r>
              <w:rPr>
                <w:rFonts w:hint="eastAsia" w:ascii="仿宋_GB2312" w:eastAsia="仿宋_GB2312" w:hAnsiTheme="minorEastAsia"/>
                <w:color w:val="auto"/>
                <w:sz w:val="24"/>
                <w:szCs w:val="24"/>
                <w:highlight w:val="none"/>
                <w:lang w:eastAsia="zh-CN"/>
              </w:rPr>
              <w:t>采取</w:t>
            </w:r>
            <w:r>
              <w:rPr>
                <w:rFonts w:hint="eastAsia" w:ascii="仿宋_GB2312" w:eastAsia="仿宋_GB2312" w:hAnsiTheme="minorEastAsia"/>
                <w:color w:val="auto"/>
                <w:sz w:val="24"/>
                <w:szCs w:val="24"/>
                <w:highlight w:val="none"/>
                <w:lang w:val="en-US" w:eastAsia="zh-CN"/>
              </w:rPr>
              <w:t>其他采购方式</w:t>
            </w:r>
            <w:r>
              <w:rPr>
                <w:rFonts w:hint="eastAsia" w:ascii="仿宋_GB2312" w:eastAsia="仿宋_GB2312" w:hAnsiTheme="minorEastAsia"/>
                <w:color w:val="auto"/>
                <w:sz w:val="24"/>
                <w:szCs w:val="24"/>
                <w:highlight w:val="none"/>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11" w:hRule="atLeast"/>
        </w:trPr>
        <w:tc>
          <w:tcPr>
            <w:tcW w:w="959" w:type="dxa"/>
            <w:tcBorders>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2.询比规则</w:t>
            </w:r>
          </w:p>
        </w:tc>
        <w:tc>
          <w:tcPr>
            <w:tcW w:w="7938" w:type="dxa"/>
            <w:tcBorders>
              <w:bottom w:val="single" w:color="auto" w:sz="4" w:space="0"/>
            </w:tcBorders>
            <w:vAlign w:val="center"/>
          </w:tcPr>
          <w:p>
            <w:pPr>
              <w:adjustRightInd w:val="0"/>
              <w:snapToGrid w:val="0"/>
              <w:ind w:left="458" w:hanging="458" w:hangingChars="191"/>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t>2.1 报价应包括国家规定的增值税税金，增值税税金按一般计税方法计算。报价范围包括</w:t>
            </w:r>
            <w:r>
              <w:rPr>
                <w:rFonts w:hint="eastAsia" w:ascii="仿宋_GB2312" w:eastAsia="仿宋_GB2312" w:hAnsiTheme="minorEastAsia"/>
                <w:color w:val="auto"/>
                <w:sz w:val="24"/>
                <w:szCs w:val="24"/>
                <w:highlight w:val="none"/>
                <w:u w:val="single"/>
                <w:lang w:val="en-US" w:eastAsia="zh-CN"/>
              </w:rPr>
              <w:t>本项目所有采购内容和范围。</w:t>
            </w:r>
            <w:r>
              <w:rPr>
                <w:rFonts w:hint="eastAsia" w:ascii="仿宋_GB2312" w:eastAsia="仿宋_GB2312"/>
                <w:color w:val="auto"/>
                <w:sz w:val="24"/>
                <w:szCs w:val="24"/>
                <w:highlight w:val="none"/>
              </w:rPr>
              <w:t xml:space="preserve"> </w:t>
            </w:r>
          </w:p>
          <w:p>
            <w:pPr>
              <w:adjustRightInd w:val="0"/>
              <w:snapToGrid w:val="0"/>
              <w:ind w:left="458" w:hanging="458" w:hangingChars="191"/>
              <w:rPr>
                <w:rFonts w:ascii="仿宋_GB2312" w:eastAsia="仿宋_GB2312"/>
                <w:color w:val="auto"/>
                <w:sz w:val="24"/>
                <w:szCs w:val="24"/>
                <w:highlight w:val="none"/>
              </w:rPr>
            </w:pPr>
            <w:r>
              <w:rPr>
                <w:rFonts w:hint="eastAsia" w:ascii="仿宋_GB2312" w:eastAsia="仿宋_GB2312"/>
                <w:color w:val="auto"/>
                <w:sz w:val="24"/>
                <w:szCs w:val="24"/>
                <w:highlight w:val="none"/>
              </w:rPr>
              <w:t xml:space="preserve">2.2 询比地址 </w:t>
            </w:r>
          </w:p>
          <w:p>
            <w:pPr>
              <w:adjustRightInd w:val="0"/>
              <w:snapToGrid w:val="0"/>
              <w:ind w:left="456" w:leftChars="217"/>
              <w:rPr>
                <w:rFonts w:ascii="仿宋_GB2312" w:eastAsia="仿宋_GB2312"/>
                <w:color w:val="auto"/>
                <w:sz w:val="24"/>
                <w:szCs w:val="24"/>
                <w:highlight w:val="none"/>
                <w:u w:val="single"/>
              </w:rPr>
            </w:pPr>
            <w:r>
              <w:rPr>
                <w:rFonts w:hint="eastAsia" w:ascii="仿宋_GB2312" w:eastAsia="仿宋_GB2312" w:hAnsiTheme="minorEastAsia"/>
                <w:color w:val="auto"/>
                <w:sz w:val="24"/>
                <w:szCs w:val="24"/>
                <w:highlight w:val="none"/>
                <w:u w:val="single"/>
                <w:lang w:val="en-US" w:eastAsia="zh-CN"/>
              </w:rPr>
              <w:t>广州市从化区江浦街从从荔路50号广州从化净水有限公司</w:t>
            </w:r>
          </w:p>
          <w:p>
            <w:pPr>
              <w:adjustRightInd w:val="0"/>
              <w:snapToGrid w:val="0"/>
              <w:rPr>
                <w:rFonts w:ascii="仿宋_GB2312" w:eastAsia="仿宋_GB2312" w:hAnsiTheme="minorEastAsia"/>
                <w:color w:val="auto"/>
                <w:sz w:val="24"/>
                <w:szCs w:val="24"/>
                <w:highlight w:val="none"/>
                <w:u w:val="single"/>
              </w:rPr>
            </w:pPr>
            <w:r>
              <w:rPr>
                <w:rFonts w:hint="eastAsia" w:ascii="仿宋_GB2312" w:eastAsia="仿宋_GB2312" w:hAnsiTheme="minorEastAsia"/>
                <w:color w:val="auto"/>
                <w:sz w:val="24"/>
                <w:szCs w:val="24"/>
                <w:highlight w:val="none"/>
              </w:rPr>
              <w:t>2.3 询比开始时间（同响应文件截止时间）</w:t>
            </w:r>
          </w:p>
          <w:p>
            <w:pPr>
              <w:adjustRightInd w:val="0"/>
              <w:snapToGrid w:val="0"/>
              <w:ind w:left="480" w:hanging="480" w:hangingChars="200"/>
              <w:rPr>
                <w:rFonts w:ascii="仿宋_GB2312" w:eastAsia="仿宋_GB2312"/>
                <w:color w:val="auto"/>
                <w:sz w:val="24"/>
                <w:szCs w:val="24"/>
                <w:highlight w:val="none"/>
              </w:rPr>
            </w:pPr>
            <w:r>
              <w:rPr>
                <w:rFonts w:hint="eastAsia" w:ascii="仿宋_GB2312" w:eastAsia="仿宋_GB2312"/>
                <w:color w:val="auto"/>
                <w:sz w:val="24"/>
                <w:szCs w:val="24"/>
                <w:highlight w:val="none"/>
              </w:rPr>
              <w:t>2.4 供应商依据采购文件规定的时间和地点递交响应文件，供应商应一次报出不可更改的价格</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959" w:type="dxa"/>
            <w:tcBorders>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3.成交规则</w:t>
            </w:r>
          </w:p>
        </w:tc>
        <w:tc>
          <w:tcPr>
            <w:tcW w:w="7938" w:type="dxa"/>
            <w:tcBorders>
              <w:bottom w:val="single" w:color="auto" w:sz="4" w:space="0"/>
            </w:tcBorders>
            <w:vAlign w:val="center"/>
          </w:tcPr>
          <w:p>
            <w:pPr>
              <w:adjustRightInd w:val="0"/>
              <w:snapToGrid w:val="0"/>
              <w:ind w:left="360" w:hanging="360" w:hangingChars="150"/>
              <w:rPr>
                <w:rFonts w:hint="eastAsia"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sym w:font="Wingdings 2" w:char="0052"/>
            </w:r>
            <w:r>
              <w:rPr>
                <w:rFonts w:hint="eastAsia" w:ascii="仿宋_GB2312" w:eastAsia="仿宋_GB2312" w:hAnsiTheme="minorEastAsia"/>
                <w:color w:val="auto"/>
                <w:sz w:val="24"/>
                <w:szCs w:val="24"/>
                <w:highlight w:val="none"/>
              </w:rPr>
              <w:t>采购人确定满足采购文件</w:t>
            </w:r>
            <w:r>
              <w:rPr>
                <w:rFonts w:hint="eastAsia" w:ascii="仿宋_GB2312" w:eastAsia="仿宋_GB2312" w:hAnsiTheme="minorEastAsia"/>
                <w:color w:val="auto"/>
                <w:sz w:val="24"/>
                <w:szCs w:val="24"/>
                <w:highlight w:val="none"/>
                <w:lang w:val="en-US" w:eastAsia="zh-CN"/>
              </w:rPr>
              <w:t>资格性、响应性</w:t>
            </w:r>
            <w:r>
              <w:rPr>
                <w:rFonts w:hint="eastAsia" w:ascii="仿宋_GB2312" w:eastAsia="仿宋_GB2312" w:hAnsiTheme="minorEastAsia"/>
                <w:color w:val="auto"/>
                <w:sz w:val="24"/>
                <w:szCs w:val="24"/>
                <w:highlight w:val="none"/>
              </w:rPr>
              <w:t>要求，并且经评审的报价最低的为成交供应商</w:t>
            </w:r>
          </w:p>
          <w:p>
            <w:pPr>
              <w:adjustRightInd w:val="0"/>
              <w:snapToGrid w:val="0"/>
              <w:ind w:left="360" w:hanging="360" w:hangingChars="150"/>
              <w:rPr>
                <w:rFonts w:hint="default" w:ascii="仿宋_GB2312" w:eastAsia="仿宋_GB2312" w:hAnsiTheme="minorEastAsia"/>
                <w:color w:val="auto"/>
                <w:sz w:val="24"/>
                <w:szCs w:val="24"/>
                <w:highlight w:val="none"/>
                <w:lang w:val="en-US" w:eastAsia="zh-CN"/>
              </w:rPr>
            </w:pPr>
            <w:r>
              <w:rPr>
                <w:rFonts w:hint="eastAsia" w:ascii="仿宋_GB2312" w:eastAsia="仿宋_GB2312" w:hAnsiTheme="minorEastAsia"/>
                <w:color w:val="auto"/>
                <w:sz w:val="24"/>
                <w:szCs w:val="24"/>
                <w:highlight w:val="none"/>
              </w:rPr>
              <w:sym w:font="Wingdings 2" w:char="00A3"/>
            </w:r>
            <w:r>
              <w:rPr>
                <w:rFonts w:hint="eastAsia" w:ascii="仿宋_GB2312" w:eastAsia="仿宋_GB2312" w:hAnsiTheme="minorEastAsia"/>
                <w:color w:val="auto"/>
                <w:sz w:val="24"/>
                <w:szCs w:val="24"/>
                <w:highlight w:val="none"/>
              </w:rPr>
              <w:t>评审小组按照采购文件确定的标准排序，采购人确定排名第一的供应商为成交供应商</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lang w:val="en-US" w:eastAsia="zh-CN"/>
              </w:rPr>
              <w:t xml:space="preserve">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959" w:type="dxa"/>
            <w:tcBorders>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4.成交候选人公示</w:t>
            </w:r>
          </w:p>
        </w:tc>
        <w:tc>
          <w:tcPr>
            <w:tcW w:w="7938" w:type="dxa"/>
            <w:tcBorders>
              <w:bottom w:val="single" w:color="auto" w:sz="4" w:space="0"/>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在评审小组提交评审报告3日内，在</w:t>
            </w:r>
            <w:r>
              <w:rPr>
                <w:rFonts w:hint="eastAsia" w:ascii="仿宋_GB2312" w:eastAsia="仿宋_GB2312" w:hAnsiTheme="minorEastAsia"/>
                <w:color w:val="auto"/>
                <w:sz w:val="24"/>
                <w:szCs w:val="24"/>
                <w:highlight w:val="none"/>
                <w:u w:val="single"/>
                <w:lang w:val="en-US" w:eastAsia="zh-CN"/>
              </w:rPr>
              <w:t>广州市净水有限公司门户网站</w:t>
            </w:r>
            <w:r>
              <w:rPr>
                <w:rFonts w:hint="eastAsia" w:ascii="仿宋_GB2312" w:eastAsia="仿宋_GB2312" w:hAnsiTheme="minorEastAsia"/>
                <w:color w:val="auto"/>
                <w:sz w:val="24"/>
                <w:szCs w:val="24"/>
                <w:highlight w:val="none"/>
              </w:rPr>
              <w:t>公示成交候选人</w:t>
            </w:r>
            <w:r>
              <w:rPr>
                <w:rFonts w:hint="eastAsia" w:ascii="仿宋_GB2312" w:eastAsia="仿宋_GB2312" w:hAnsiTheme="minorEastAsia"/>
                <w:color w:val="auto"/>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9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5.成交结果公告</w:t>
            </w:r>
          </w:p>
        </w:tc>
        <w:tc>
          <w:tcPr>
            <w:tcW w:w="7938" w:type="dxa"/>
            <w:tcBorders>
              <w:top w:val="single" w:color="auto" w:sz="4" w:space="0"/>
              <w:bottom w:val="single" w:color="auto" w:sz="4" w:space="0"/>
            </w:tcBorders>
            <w:vAlign w:val="center"/>
          </w:tcPr>
          <w:p>
            <w:pPr>
              <w:adjustRightInd w:val="0"/>
              <w:snapToGrid w:val="0"/>
              <w:rPr>
                <w:rFonts w:hint="default" w:ascii="仿宋_GB2312" w:eastAsia="仿宋_GB2312" w:hAnsiTheme="minorEastAsia"/>
                <w:color w:val="auto"/>
                <w:sz w:val="24"/>
                <w:szCs w:val="24"/>
                <w:highlight w:val="none"/>
                <w:lang w:val="en-US" w:eastAsia="zh-CN"/>
              </w:rPr>
            </w:pPr>
            <w:r>
              <w:rPr>
                <w:rFonts w:hint="eastAsia" w:ascii="仿宋_GB2312" w:eastAsia="仿宋_GB2312"/>
                <w:color w:val="auto"/>
                <w:sz w:val="24"/>
                <w:szCs w:val="24"/>
                <w:highlight w:val="none"/>
              </w:rPr>
              <w:t>成交候选人公示</w:t>
            </w:r>
            <w:r>
              <w:rPr>
                <w:rFonts w:hint="eastAsia" w:ascii="仿宋_GB2312" w:eastAsia="仿宋_GB2312" w:hAnsiTheme="minorEastAsia"/>
                <w:color w:val="auto"/>
                <w:sz w:val="24"/>
                <w:szCs w:val="24"/>
                <w:highlight w:val="none"/>
                <w:lang w:val="en-US" w:eastAsia="zh-CN"/>
              </w:rPr>
              <w:t>结束后。</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9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6.成交通知书</w:t>
            </w:r>
          </w:p>
        </w:tc>
        <w:tc>
          <w:tcPr>
            <w:tcW w:w="7938" w:type="dxa"/>
            <w:tcBorders>
              <w:top w:val="single" w:color="auto" w:sz="4" w:space="0"/>
              <w:bottom w:val="single" w:color="auto" w:sz="4" w:space="0"/>
            </w:tcBorders>
            <w:vAlign w:val="center"/>
          </w:tcPr>
          <w:p>
            <w:pPr>
              <w:adjustRightInd w:val="0"/>
              <w:snapToGrid w:val="0"/>
              <w:ind w:left="1" w:firstLine="2"/>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采购人应在确定成交供应商后及时向其发出成交通知书。</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9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7.签订采购合同</w:t>
            </w:r>
          </w:p>
        </w:tc>
        <w:tc>
          <w:tcPr>
            <w:tcW w:w="7938" w:type="dxa"/>
            <w:tcBorders>
              <w:top w:val="single" w:color="auto" w:sz="4" w:space="0"/>
              <w:bottom w:val="single" w:color="auto" w:sz="4" w:space="0"/>
            </w:tcBorders>
            <w:vAlign w:val="center"/>
          </w:tcPr>
          <w:p>
            <w:pPr>
              <w:adjustRightInd w:val="0"/>
              <w:snapToGrid w:val="0"/>
              <w:ind w:left="1" w:firstLine="2"/>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采购人在发出成交通知书后</w:t>
            </w:r>
            <w:r>
              <w:rPr>
                <w:rFonts w:hint="eastAsia" w:ascii="仿宋_GB2312" w:eastAsia="仿宋_GB2312" w:hAnsiTheme="minorEastAsia"/>
                <w:color w:val="auto"/>
                <w:sz w:val="24"/>
                <w:szCs w:val="24"/>
                <w:highlight w:val="none"/>
                <w:lang w:val="en-US" w:eastAsia="zh-CN"/>
              </w:rPr>
              <w:t>30</w:t>
            </w:r>
            <w:r>
              <w:rPr>
                <w:rFonts w:hint="eastAsia" w:ascii="仿宋_GB2312" w:eastAsia="仿宋_GB2312" w:hAnsiTheme="minorEastAsia"/>
                <w:color w:val="auto"/>
                <w:sz w:val="24"/>
                <w:szCs w:val="24"/>
                <w:highlight w:val="none"/>
              </w:rPr>
              <w:t>日内同成交供应商签订书面采购合同</w:t>
            </w:r>
            <w:r>
              <w:rPr>
                <w:rFonts w:hint="eastAsia" w:ascii="仿宋_GB2312" w:eastAsia="仿宋_GB2312" w:hAnsiTheme="minorEastAsia"/>
                <w:color w:val="auto"/>
                <w:sz w:val="24"/>
                <w:szCs w:val="24"/>
                <w:highlight w:val="none"/>
                <w:lang w:val="en-US" w:eastAsia="zh-CN"/>
              </w:rPr>
              <w:t>.</w:t>
            </w:r>
          </w:p>
        </w:tc>
      </w:tr>
    </w:tbl>
    <w:p>
      <w:pPr>
        <w:adjustRightInd w:val="0"/>
        <w:snapToGrid w:val="0"/>
        <w:spacing w:line="600" w:lineRule="exact"/>
        <w:ind w:firstLine="560" w:firstLineChars="200"/>
        <w:jc w:val="left"/>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3"/>
        <w:rPr>
          <w:color w:val="auto"/>
          <w:highlight w:val="none"/>
        </w:rPr>
      </w:pPr>
      <w:bookmarkStart w:id="34" w:name="_Toc4952"/>
      <w:bookmarkStart w:id="35" w:name="_Toc19759"/>
      <w:bookmarkStart w:id="36" w:name="_Toc3156"/>
      <w:bookmarkStart w:id="37" w:name="_Toc14552"/>
      <w:bookmarkStart w:id="38" w:name="_Toc10930"/>
      <w:bookmarkStart w:id="39" w:name="_Toc7437"/>
      <w:bookmarkStart w:id="40" w:name="_Toc20594"/>
      <w:bookmarkStart w:id="41" w:name="_Toc7118"/>
      <w:bookmarkStart w:id="42" w:name="_Toc14870"/>
      <w:bookmarkStart w:id="43" w:name="_Toc19050"/>
      <w:bookmarkStart w:id="44" w:name="_Toc23581"/>
      <w:r>
        <w:rPr>
          <w:color w:val="auto"/>
          <w:highlight w:val="none"/>
        </w:rPr>
        <w:pict>
          <v:shape id="_x0000_s2055" o:spid="_x0000_s2055" o:spt="32" type="#_x0000_t32" style="position:absolute;left:0pt;margin-left:181.6pt;margin-top:56.7pt;height:0pt;width:75.5pt;z-index:251665408;mso-width-relative:page;mso-height-relative:page;" o:connectortype="straight" filled="f" coordsize="21600,21600">
            <v:path arrowok="t"/>
            <v:fill on="f" focussize="0,0"/>
            <v:stroke/>
            <v:imagedata o:title=""/>
            <o:lock v:ext="edit"/>
          </v:shape>
        </w:pict>
      </w:r>
      <w:r>
        <w:rPr>
          <w:color w:val="auto"/>
          <w:highlight w:val="none"/>
        </w:rPr>
        <w:pict>
          <v:shape id="_x0000_s2054" o:spid="_x0000_s2054" o:spt="32" type="#_x0000_t32" style="position:absolute;left:0pt;margin-left:183.1pt;margin-top:21.3pt;height:0pt;width:75.5pt;z-index:251664384;mso-width-relative:page;mso-height-relative:page;" o:connectortype="straight" filled="f" coordsize="21600,21600">
            <v:path arrowok="t"/>
            <v:fill on="f" focussize="0,0"/>
            <v:stroke/>
            <v:imagedata o:title=""/>
            <o:lock v:ext="edit"/>
          </v:shape>
        </w:pict>
      </w:r>
      <w:r>
        <w:rPr>
          <w:rFonts w:hint="eastAsia"/>
          <w:color w:val="auto"/>
          <w:highlight w:val="none"/>
        </w:rPr>
        <w:t>第</w:t>
      </w:r>
      <w:r>
        <w:rPr>
          <w:rFonts w:hint="eastAsia"/>
          <w:color w:val="auto"/>
          <w:highlight w:val="none"/>
          <w:lang w:val="en-US" w:eastAsia="zh-CN"/>
        </w:rPr>
        <w:t>四</w:t>
      </w:r>
      <w:r>
        <w:rPr>
          <w:rFonts w:hint="eastAsia"/>
          <w:color w:val="auto"/>
          <w:highlight w:val="none"/>
        </w:rPr>
        <w:t>章</w:t>
      </w:r>
      <w:bookmarkEnd w:id="34"/>
      <w:bookmarkEnd w:id="35"/>
      <w:bookmarkEnd w:id="36"/>
      <w:bookmarkEnd w:id="37"/>
      <w:bookmarkEnd w:id="38"/>
      <w:bookmarkEnd w:id="39"/>
      <w:bookmarkEnd w:id="40"/>
      <w:bookmarkEnd w:id="41"/>
      <w:bookmarkEnd w:id="42"/>
      <w:bookmarkEnd w:id="43"/>
      <w:bookmarkEnd w:id="44"/>
    </w:p>
    <w:p>
      <w:pPr>
        <w:pStyle w:val="36"/>
        <w:rPr>
          <w:color w:val="auto"/>
          <w:highlight w:val="none"/>
        </w:rPr>
      </w:pPr>
    </w:p>
    <w:p>
      <w:pPr>
        <w:pStyle w:val="3"/>
        <w:rPr>
          <w:color w:val="auto"/>
          <w:highlight w:val="none"/>
        </w:rPr>
      </w:pPr>
      <w:bookmarkStart w:id="45" w:name="_Toc6308"/>
      <w:bookmarkStart w:id="46" w:name="_Toc32607"/>
      <w:bookmarkStart w:id="47" w:name="_Toc29345"/>
      <w:bookmarkStart w:id="48" w:name="_Toc88209941"/>
      <w:bookmarkStart w:id="49" w:name="_Toc21840"/>
      <w:bookmarkStart w:id="50" w:name="_Toc29484"/>
      <w:bookmarkStart w:id="51" w:name="_Toc12177"/>
      <w:bookmarkStart w:id="52" w:name="_Toc7831"/>
      <w:bookmarkStart w:id="53" w:name="_Toc30530"/>
      <w:bookmarkStart w:id="54" w:name="_Toc13898"/>
      <w:bookmarkStart w:id="55" w:name="_Toc21079"/>
      <w:bookmarkStart w:id="56" w:name="_Toc87616378"/>
      <w:bookmarkStart w:id="57" w:name="_Toc22212"/>
      <w:r>
        <w:rPr>
          <w:rFonts w:hint="eastAsia"/>
          <w:color w:val="auto"/>
          <w:highlight w:val="none"/>
        </w:rPr>
        <w:t>评审办法</w:t>
      </w:r>
      <w:bookmarkEnd w:id="45"/>
      <w:bookmarkEnd w:id="46"/>
      <w:bookmarkEnd w:id="47"/>
      <w:bookmarkEnd w:id="48"/>
      <w:bookmarkEnd w:id="49"/>
      <w:bookmarkEnd w:id="50"/>
      <w:bookmarkEnd w:id="51"/>
      <w:bookmarkEnd w:id="52"/>
      <w:bookmarkEnd w:id="53"/>
      <w:bookmarkEnd w:id="54"/>
      <w:bookmarkEnd w:id="55"/>
      <w:bookmarkEnd w:id="56"/>
      <w:bookmarkEnd w:id="57"/>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2"/>
        <w:ind w:firstLine="0"/>
        <w:rPr>
          <w:rFonts w:ascii="方正小标宋简体" w:eastAsia="方正小标宋简体"/>
          <w:color w:val="auto"/>
          <w:sz w:val="44"/>
          <w:szCs w:val="44"/>
          <w:highlight w:val="none"/>
        </w:rPr>
      </w:pPr>
    </w:p>
    <w:p>
      <w:pPr>
        <w:pStyle w:val="4"/>
        <w:rPr>
          <w:color w:val="auto"/>
          <w:highlight w:val="none"/>
        </w:rPr>
      </w:pPr>
      <w:bookmarkStart w:id="58" w:name="_Toc26826"/>
      <w:bookmarkStart w:id="59" w:name="_Toc23033"/>
      <w:r>
        <w:rPr>
          <w:rFonts w:hint="eastAsia"/>
          <w:color w:val="auto"/>
          <w:highlight w:val="none"/>
        </w:rPr>
        <w:sym w:font="Wingdings 2" w:char="0052"/>
      </w:r>
      <w:r>
        <w:rPr>
          <w:rFonts w:hint="eastAsia"/>
          <w:color w:val="auto"/>
          <w:highlight w:val="none"/>
        </w:rPr>
        <w:t>经评审的最低价法</w:t>
      </w:r>
      <w:bookmarkEnd w:id="58"/>
      <w:bookmarkEnd w:id="59"/>
    </w:p>
    <w:p>
      <w:pPr>
        <w:adjustRightInd w:val="0"/>
        <w:snapToGrid w:val="0"/>
        <w:spacing w:line="600" w:lineRule="exact"/>
        <w:jc w:val="left"/>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1.评审方法</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供应商的报价应当符合采购文件规定的技术要求和标准，但评审小组无须对响应文件的技术部分进行价格评审。</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除报价外，评审还应考虑的商务因素一般有以下几种：</w:t>
      </w:r>
    </w:p>
    <w:p>
      <w:pPr>
        <w:adjustRightInd w:val="0"/>
        <w:snapToGrid w:val="0"/>
        <w:spacing w:line="600" w:lineRule="exact"/>
        <w:ind w:firstLine="420" w:firstLineChars="150"/>
        <w:jc w:val="left"/>
        <w:rPr>
          <w:rFonts w:hint="eastAsia" w:ascii="仿宋_GB2312" w:eastAsia="仿宋_GB2312" w:hAnsiTheme="minorEastAsia"/>
          <w:color w:val="auto"/>
          <w:sz w:val="28"/>
          <w:szCs w:val="28"/>
          <w:highlight w:val="none"/>
          <w:lang w:eastAsia="zh-CN"/>
        </w:rPr>
      </w:pPr>
      <w:r>
        <w:rPr>
          <w:rFonts w:hint="eastAsia" w:ascii="仿宋_GB2312" w:eastAsia="仿宋_GB2312" w:hAnsiTheme="minorEastAsia"/>
          <w:color w:val="auto"/>
          <w:sz w:val="28"/>
          <w:szCs w:val="28"/>
          <w:highlight w:val="none"/>
        </w:rPr>
        <w:t>（1）运输费用及保险费。</w:t>
      </w:r>
      <w:r>
        <w:rPr>
          <w:rFonts w:hint="eastAsia" w:ascii="仿宋_GB2312" w:eastAsia="仿宋_GB2312" w:hAnsiTheme="minorEastAsia"/>
          <w:color w:val="auto"/>
          <w:sz w:val="28"/>
          <w:szCs w:val="28"/>
          <w:highlight w:val="none"/>
          <w:lang w:eastAsia="zh-CN"/>
        </w:rPr>
        <w:t>（如有）</w:t>
      </w:r>
    </w:p>
    <w:p>
      <w:pPr>
        <w:adjustRightInd w:val="0"/>
        <w:snapToGrid w:val="0"/>
        <w:spacing w:line="600" w:lineRule="exact"/>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 xml:space="preserve">   （2）工期、交货期或服务期限。</w:t>
      </w:r>
    </w:p>
    <w:p>
      <w:pPr>
        <w:adjustRightInd w:val="0"/>
        <w:snapToGrid w:val="0"/>
        <w:spacing w:line="600" w:lineRule="exact"/>
        <w:ind w:firstLine="420" w:firstLineChars="15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（3）支付条件。</w:t>
      </w:r>
    </w:p>
    <w:p>
      <w:pPr>
        <w:adjustRightInd w:val="0"/>
        <w:snapToGrid w:val="0"/>
        <w:spacing w:line="600" w:lineRule="exact"/>
        <w:ind w:firstLine="420" w:firstLineChars="15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（4）备品备件以及售后服务（如有）。</w:t>
      </w:r>
    </w:p>
    <w:p>
      <w:pPr>
        <w:adjustRightInd w:val="0"/>
        <w:snapToGrid w:val="0"/>
        <w:spacing w:line="600" w:lineRule="exact"/>
        <w:ind w:firstLine="420" w:firstLineChars="15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（5）价格调整因素。</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经澄清确认后修正的最终报价应当认为是供应商的真实要约，可以作为合同签约价。</w:t>
      </w:r>
    </w:p>
    <w:p>
      <w:pPr>
        <w:adjustRightInd w:val="0"/>
        <w:snapToGrid w:val="0"/>
        <w:spacing w:line="600" w:lineRule="exact"/>
        <w:jc w:val="left"/>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2.评审程序</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2.1 初步评审</w:t>
      </w:r>
    </w:p>
    <w:p>
      <w:pPr>
        <w:adjustRightInd w:val="0"/>
        <w:snapToGrid w:val="0"/>
        <w:spacing w:line="600" w:lineRule="exact"/>
        <w:jc w:val="left"/>
        <w:rPr>
          <w:rFonts w:ascii="仿宋_GB2312" w:eastAsia="仿宋_GB2312" w:hAnsiTheme="minorEastAsia"/>
          <w:color w:val="auto"/>
          <w:sz w:val="28"/>
          <w:szCs w:val="28"/>
          <w:highlight w:val="none"/>
        </w:rPr>
      </w:pPr>
      <w:r>
        <w:rPr>
          <w:rFonts w:ascii="仿宋_GB2312" w:eastAsia="仿宋_GB2312"/>
          <w:color w:val="auto"/>
          <w:sz w:val="28"/>
          <w:szCs w:val="28"/>
          <w:highlight w:val="none"/>
        </w:rPr>
        <w:t>表</w:t>
      </w:r>
      <w:r>
        <w:rPr>
          <w:rFonts w:hint="eastAsia" w:ascii="仿宋_GB2312" w:eastAsia="仿宋_GB2312"/>
          <w:color w:val="auto"/>
          <w:sz w:val="28"/>
          <w:szCs w:val="28"/>
          <w:highlight w:val="none"/>
        </w:rPr>
        <w:t>4-1                      初步评审标准</w:t>
      </w:r>
    </w:p>
    <w:tbl>
      <w:tblPr>
        <w:tblStyle w:val="24"/>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56"/>
        <w:gridCol w:w="2127"/>
        <w:gridCol w:w="552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1356"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评审环节</w:t>
            </w:r>
          </w:p>
        </w:tc>
        <w:tc>
          <w:tcPr>
            <w:tcW w:w="2127"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w:t>
            </w:r>
            <w:r>
              <w:rPr>
                <w:rFonts w:ascii="仿宋_GB2312" w:eastAsia="仿宋_GB2312"/>
                <w:color w:val="auto"/>
                <w:sz w:val="28"/>
                <w:szCs w:val="28"/>
                <w:highlight w:val="none"/>
              </w:rPr>
              <w:t>因素</w:t>
            </w:r>
          </w:p>
        </w:tc>
        <w:tc>
          <w:tcPr>
            <w:tcW w:w="5528"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w:t>
            </w:r>
            <w:r>
              <w:rPr>
                <w:rFonts w:ascii="仿宋_GB2312" w:eastAsia="仿宋_GB2312"/>
                <w:color w:val="auto"/>
                <w:sz w:val="28"/>
                <w:szCs w:val="28"/>
                <w:highlight w:val="none"/>
              </w:rPr>
              <w:t>标准</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356"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形式评审</w:t>
            </w:r>
          </w:p>
        </w:tc>
        <w:tc>
          <w:tcPr>
            <w:tcW w:w="2127" w:type="dxa"/>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响应函签字盖章</w:t>
            </w:r>
          </w:p>
        </w:tc>
        <w:tc>
          <w:tcPr>
            <w:tcW w:w="5528" w:type="dxa"/>
            <w:tcBorders>
              <w:top w:val="single" w:color="auto" w:sz="4" w:space="0"/>
              <w:bottom w:val="single" w:color="auto" w:sz="4" w:space="0"/>
            </w:tcBorders>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rPr>
              <w:t>有响应函，有法定代表人（单位负责人）或其委托代理人签字（或签章 ）并加盖单位公章</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56" w:type="dxa"/>
            <w:vMerge w:val="continue"/>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r>
              <w:rPr>
                <w:rFonts w:ascii="仿宋_GB2312" w:eastAsia="仿宋_GB2312"/>
                <w:color w:val="auto"/>
                <w:sz w:val="24"/>
                <w:szCs w:val="24"/>
                <w:highlight w:val="none"/>
              </w:rPr>
              <w:t>响应文件格式</w:t>
            </w:r>
          </w:p>
        </w:tc>
        <w:tc>
          <w:tcPr>
            <w:tcW w:w="5528" w:type="dxa"/>
            <w:tcBorders>
              <w:top w:val="single" w:color="auto" w:sz="4" w:space="0"/>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r>
              <w:rPr>
                <w:rFonts w:ascii="仿宋_GB2312" w:eastAsia="仿宋_GB2312"/>
                <w:color w:val="auto"/>
                <w:sz w:val="24"/>
                <w:szCs w:val="24"/>
                <w:highlight w:val="none"/>
              </w:rPr>
              <w:t>符合采购文件</w:t>
            </w:r>
            <w:r>
              <w:rPr>
                <w:rFonts w:hint="eastAsia" w:ascii="仿宋_GB2312" w:eastAsia="仿宋_GB2312"/>
                <w:color w:val="auto"/>
                <w:sz w:val="24"/>
                <w:szCs w:val="24"/>
                <w:highlight w:val="none"/>
              </w:rPr>
              <w:t>“响应文件格式”要求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356" w:type="dxa"/>
            <w:vMerge w:val="continue"/>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报价唯一</w:t>
            </w:r>
          </w:p>
        </w:tc>
        <w:tc>
          <w:tcPr>
            <w:tcW w:w="5528" w:type="dxa"/>
            <w:tcBorders>
              <w:top w:val="single" w:color="auto" w:sz="4" w:space="0"/>
            </w:tcBorders>
            <w:vAlign w:val="center"/>
          </w:tcPr>
          <w:p>
            <w:pPr>
              <w:adjustRightInd w:val="0"/>
              <w:snapToGrid w:val="0"/>
              <w:rPr>
                <w:rFonts w:ascii="仿宋_GB2312" w:eastAsia="仿宋_GB2312"/>
                <w:color w:val="auto"/>
                <w:sz w:val="24"/>
                <w:szCs w:val="24"/>
                <w:highlight w:val="none"/>
              </w:rPr>
            </w:pPr>
            <w:r>
              <w:rPr>
                <w:rFonts w:ascii="仿宋_GB2312" w:eastAsia="仿宋_GB2312"/>
                <w:color w:val="auto"/>
                <w:sz w:val="24"/>
                <w:szCs w:val="24"/>
                <w:highlight w:val="none"/>
              </w:rPr>
              <w:t>只能有一个有效报价</w:t>
            </w:r>
            <w:r>
              <w:rPr>
                <w:rFonts w:hint="eastAsia" w:ascii="仿宋_GB2312" w:eastAsia="仿宋_GB2312"/>
                <w:color w:val="auto"/>
                <w:sz w:val="24"/>
                <w:szCs w:val="24"/>
                <w:highlight w:val="none"/>
              </w:rPr>
              <w:t>，</w:t>
            </w:r>
            <w:r>
              <w:rPr>
                <w:rFonts w:ascii="仿宋_GB2312" w:eastAsia="仿宋_GB2312"/>
                <w:color w:val="auto"/>
                <w:sz w:val="24"/>
                <w:szCs w:val="24"/>
                <w:highlight w:val="none"/>
              </w:rPr>
              <w:t>按采购文件规定提交备选方案除外</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restart"/>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资格评审</w:t>
            </w:r>
          </w:p>
        </w:tc>
        <w:tc>
          <w:tcPr>
            <w:tcW w:w="2127"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营业执照</w:t>
            </w:r>
          </w:p>
        </w:tc>
        <w:tc>
          <w:tcPr>
            <w:tcW w:w="5528" w:type="dxa"/>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rPr>
              <w:t>报价单位须是在中华人民共和国境内注册的法人或其他组织，具有独立法人资格，持有事业单位登记管理部门核发的事业单位法人证书或工商行政管理部门核发的企业法人营业执照，且在有效期内。</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356" w:type="dxa"/>
            <w:vMerge w:val="continue"/>
            <w:vAlign w:val="center"/>
          </w:tcPr>
          <w:p>
            <w:pPr>
              <w:adjustRightInd w:val="0"/>
              <w:snapToGrid w:val="0"/>
              <w:jc w:val="center"/>
              <w:rPr>
                <w:rFonts w:ascii="仿宋_GB2312" w:eastAsia="仿宋_GB2312"/>
                <w:color w:val="auto"/>
                <w:sz w:val="24"/>
                <w:szCs w:val="24"/>
                <w:highlight w:val="none"/>
              </w:rPr>
            </w:pPr>
          </w:p>
        </w:tc>
        <w:tc>
          <w:tcPr>
            <w:tcW w:w="2127"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供应商资格</w:t>
            </w:r>
          </w:p>
        </w:tc>
        <w:tc>
          <w:tcPr>
            <w:tcW w:w="5528" w:type="dxa"/>
            <w:tcBorders>
              <w:bottom w:val="single" w:color="auto" w:sz="4" w:space="0"/>
            </w:tcBorders>
            <w:vAlign w:val="center"/>
          </w:tcPr>
          <w:p>
            <w:pPr>
              <w:adjustRightInd w:val="0"/>
              <w:snapToGrid w:val="0"/>
              <w:rPr>
                <w:rFonts w:ascii="仿宋_GB2312" w:eastAsia="仿宋_GB2312"/>
                <w:color w:val="auto"/>
                <w:sz w:val="24"/>
                <w:szCs w:val="24"/>
                <w:highlight w:val="none"/>
              </w:rPr>
            </w:pPr>
            <w:r>
              <w:rPr>
                <w:rFonts w:ascii="仿宋_GB2312" w:eastAsia="仿宋_GB2312"/>
                <w:color w:val="auto"/>
                <w:sz w:val="24"/>
                <w:szCs w:val="24"/>
                <w:highlight w:val="none"/>
              </w:rPr>
              <w:t>满足法律法规及采购文件</w:t>
            </w:r>
            <w:r>
              <w:rPr>
                <w:rFonts w:hint="eastAsia" w:ascii="仿宋_GB2312" w:eastAsia="仿宋_GB2312"/>
                <w:color w:val="auto"/>
                <w:sz w:val="24"/>
                <w:szCs w:val="24"/>
                <w:highlight w:val="none"/>
              </w:rPr>
              <w:t>供应商资格要求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restart"/>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响应性评审</w:t>
            </w:r>
          </w:p>
        </w:tc>
        <w:tc>
          <w:tcPr>
            <w:tcW w:w="2127"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报价</w:t>
            </w:r>
          </w:p>
        </w:tc>
        <w:tc>
          <w:tcPr>
            <w:tcW w:w="5528" w:type="dxa"/>
            <w:tcBorders>
              <w:top w:val="single" w:color="auto" w:sz="4" w:space="0"/>
              <w:bottom w:val="single" w:color="auto" w:sz="4" w:space="0"/>
            </w:tcBorders>
            <w:vAlign w:val="center"/>
          </w:tcPr>
          <w:p>
            <w:pPr>
              <w:adjustRightInd w:val="0"/>
              <w:snapToGrid w:val="0"/>
              <w:rPr>
                <w:rFonts w:hint="eastAsia" w:ascii="仿宋_GB2312" w:eastAsia="仿宋_GB2312"/>
                <w:color w:val="auto"/>
                <w:sz w:val="24"/>
                <w:szCs w:val="24"/>
                <w:highlight w:val="none"/>
                <w:lang w:eastAsia="zh-CN"/>
              </w:rPr>
            </w:pPr>
            <w:r>
              <w:rPr>
                <w:rFonts w:ascii="仿宋_GB2312" w:eastAsia="仿宋_GB2312"/>
                <w:color w:val="auto"/>
                <w:sz w:val="24"/>
                <w:szCs w:val="24"/>
                <w:highlight w:val="none"/>
              </w:rPr>
              <w:t>没有超过最高限价</w:t>
            </w:r>
            <w:r>
              <w:rPr>
                <w:rFonts w:hint="eastAsia" w:ascii="仿宋_GB2312" w:eastAsia="仿宋_GB2312"/>
                <w:color w:val="auto"/>
                <w:sz w:val="24"/>
                <w:szCs w:val="24"/>
                <w:highlight w:val="none"/>
                <w:lang w:eastAsia="zh-CN"/>
              </w:rPr>
              <w:t>；若报价低于本项目最高限价的60%，必须说明报价理由。</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356" w:type="dxa"/>
            <w:vMerge w:val="continue"/>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其他</w:t>
            </w:r>
          </w:p>
        </w:tc>
        <w:tc>
          <w:tcPr>
            <w:tcW w:w="5528" w:type="dxa"/>
            <w:tcBorders>
              <w:top w:val="single" w:color="auto" w:sz="4" w:space="0"/>
            </w:tcBorders>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rPr>
              <w:t>采购文件要求必须提供的其他资料</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continue"/>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jc w:val="center"/>
              <w:rPr>
                <w:rFonts w:hint="default"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其他无效响应</w:t>
            </w:r>
          </w:p>
        </w:tc>
        <w:tc>
          <w:tcPr>
            <w:tcW w:w="5528" w:type="dxa"/>
            <w:tcBorders>
              <w:top w:val="single" w:color="auto" w:sz="4" w:space="0"/>
              <w:bottom w:val="single" w:color="auto" w:sz="4" w:space="0"/>
            </w:tcBorders>
            <w:vAlign w:val="center"/>
          </w:tcPr>
          <w:p>
            <w:pPr>
              <w:adjustRightInd w:val="0"/>
              <w:snapToGrid w:val="0"/>
              <w:rPr>
                <w:rFonts w:ascii="仿宋_GB2312" w:eastAsia="仿宋_GB2312"/>
                <w:color w:val="auto"/>
                <w:sz w:val="24"/>
                <w:szCs w:val="24"/>
                <w:highlight w:val="none"/>
              </w:rPr>
            </w:pPr>
            <w:r>
              <w:rPr>
                <w:rFonts w:ascii="仿宋_GB2312" w:eastAsia="仿宋_GB2312"/>
                <w:color w:val="auto"/>
                <w:sz w:val="24"/>
                <w:szCs w:val="24"/>
                <w:highlight w:val="none"/>
              </w:rPr>
              <w:t>无法律法规及采购文件规定的其他无效响应内容</w:t>
            </w:r>
          </w:p>
        </w:tc>
      </w:tr>
    </w:tbl>
    <w:p>
      <w:pPr>
        <w:spacing w:line="400" w:lineRule="exact"/>
        <w:jc w:val="left"/>
        <w:rPr>
          <w:color w:val="auto"/>
          <w:highlight w:val="none"/>
        </w:rPr>
      </w:pPr>
      <w:r>
        <w:rPr>
          <w:rFonts w:hint="eastAsia" w:ascii="仿宋_GB2312" w:eastAsia="仿宋_GB2312" w:hAnsiTheme="minorEastAsia"/>
          <w:color w:val="auto"/>
          <w:szCs w:val="21"/>
          <w:highlight w:val="none"/>
        </w:rPr>
        <w:t>说明：初步评审活动依照</w:t>
      </w:r>
      <w:r>
        <w:rPr>
          <w:rFonts w:hint="eastAsia" w:ascii="仿宋_GB2312" w:eastAsia="仿宋_GB2312" w:hAnsiTheme="minorEastAsia"/>
          <w:color w:val="auto"/>
          <w:szCs w:val="21"/>
          <w:highlight w:val="none"/>
          <w:lang w:val="en-US" w:eastAsia="zh-CN"/>
        </w:rPr>
        <w:t>形式评审、</w:t>
      </w:r>
      <w:r>
        <w:rPr>
          <w:rFonts w:hint="eastAsia" w:ascii="仿宋_GB2312" w:eastAsia="仿宋_GB2312" w:hAnsiTheme="minorEastAsia"/>
          <w:color w:val="auto"/>
          <w:szCs w:val="21"/>
          <w:highlight w:val="none"/>
        </w:rPr>
        <w:t>资格评审、响应性评审顺序进行，前一个环节不符合采购文件要求的不得进入下一个环节。</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2.2澄清补正</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2.2.1响应报价有算术错误的，评审小组按以下原则对响应报价进行修正，修正的价格经供应商书面确认后具有约束力。供应商不接受修正价格的，评审小组应当否决其响应。</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（1）响应文件中的大写金额与小写金额不一致的，以大写金额为准。</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（2）总价金额与依据单价计算出的结果不一致的，以单价金额为准修正总价，但单价金额小数点有明显错误的除外。</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（3）采购文件中有规定固定费率标准或固定金额的，或者有固定费率标准或固定金额的计算公式的，应按规定填报，否则由评审小组按照采购文件规定的费率、金额或者其计算公式进行修正</w:t>
      </w:r>
      <w:r>
        <w:rPr>
          <w:rFonts w:hint="eastAsia" w:ascii="仿宋_GB2312" w:eastAsia="仿宋_GB2312" w:hAnsiTheme="minorEastAsia"/>
          <w:color w:val="auto"/>
          <w:sz w:val="28"/>
          <w:szCs w:val="28"/>
          <w:highlight w:val="none"/>
          <w:lang w:val="en-US" w:eastAsia="zh-CN"/>
        </w:rPr>
        <w:t>或</w:t>
      </w:r>
      <w:r>
        <w:rPr>
          <w:rFonts w:hint="eastAsia" w:ascii="仿宋_GB2312" w:eastAsia="仿宋_GB2312" w:hAnsiTheme="minorEastAsia"/>
          <w:color w:val="auto"/>
          <w:sz w:val="28"/>
          <w:szCs w:val="28"/>
          <w:highlight w:val="none"/>
        </w:rPr>
        <w:t>否决其响应。</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2.2.2响应文件存在含义不清、针对同一事项前后表述不一致、明显文字或计算错误的，评审小组可以要求供应商进行澄清、说明和补正，澄清、说明和补正不得超出响应文件的范围或改变响应文件的实质性内容，超出部分不作为评审小组相应评审的依据</w:t>
      </w:r>
      <w:r>
        <w:rPr>
          <w:rFonts w:hint="eastAsia" w:ascii="仿宋_GB2312" w:eastAsia="仿宋_GB2312" w:hAnsiTheme="minorEastAsia"/>
          <w:color w:val="auto"/>
          <w:sz w:val="28"/>
          <w:szCs w:val="28"/>
          <w:highlight w:val="none"/>
          <w:lang w:val="en-US" w:eastAsia="zh-CN"/>
        </w:rPr>
        <w:t>或</w:t>
      </w:r>
      <w:r>
        <w:rPr>
          <w:rFonts w:hint="eastAsia" w:ascii="仿宋_GB2312" w:eastAsia="仿宋_GB2312" w:hAnsiTheme="minorEastAsia"/>
          <w:color w:val="auto"/>
          <w:sz w:val="28"/>
          <w:szCs w:val="28"/>
          <w:highlight w:val="none"/>
        </w:rPr>
        <w:t>否决其响应。</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2.3评审结果 评审后，评审价格最低的供应商为成交供应商。如评审价格相同，可由评审小组根据评审情况以记名投票方式确定供应商排名，并将推荐理由写入评审报告。</w:t>
      </w:r>
    </w:p>
    <w:p>
      <w:pPr>
        <w:adjustRightInd w:val="0"/>
        <w:snapToGrid w:val="0"/>
        <w:spacing w:line="600" w:lineRule="exact"/>
        <w:jc w:val="left"/>
        <w:rPr>
          <w:rFonts w:ascii="仿宋_GB2312" w:eastAsia="仿宋_GB2312" w:hAnsiTheme="minorEastAsia"/>
          <w:color w:val="auto"/>
          <w:szCs w:val="21"/>
          <w:highlight w:val="none"/>
        </w:rPr>
      </w:pPr>
    </w:p>
    <w:p>
      <w:pPr>
        <w:pStyle w:val="22"/>
        <w:rPr>
          <w:rFonts w:ascii="仿宋_GB2312" w:eastAsia="仿宋_GB2312" w:hAnsiTheme="minorEastAsia"/>
          <w:color w:val="auto"/>
          <w:szCs w:val="21"/>
          <w:highlight w:val="none"/>
        </w:rPr>
      </w:pPr>
    </w:p>
    <w:p>
      <w:pPr>
        <w:pStyle w:val="22"/>
        <w:rPr>
          <w:rFonts w:ascii="仿宋_GB2312" w:eastAsia="仿宋_GB2312" w:hAnsiTheme="minorEastAsia"/>
          <w:color w:val="auto"/>
          <w:szCs w:val="21"/>
          <w:highlight w:val="none"/>
        </w:rPr>
      </w:pPr>
    </w:p>
    <w:p>
      <w:pPr>
        <w:pStyle w:val="22"/>
        <w:rPr>
          <w:rFonts w:ascii="仿宋_GB2312" w:eastAsia="仿宋_GB2312" w:hAnsiTheme="minorEastAsia"/>
          <w:color w:val="auto"/>
          <w:szCs w:val="21"/>
          <w:highlight w:val="none"/>
        </w:rPr>
      </w:pPr>
    </w:p>
    <w:p>
      <w:pPr>
        <w:pStyle w:val="22"/>
        <w:rPr>
          <w:rFonts w:ascii="仿宋_GB2312" w:eastAsia="仿宋_GB2312" w:hAnsiTheme="minorEastAsia"/>
          <w:color w:val="auto"/>
          <w:szCs w:val="21"/>
          <w:highlight w:val="none"/>
        </w:rPr>
      </w:pPr>
    </w:p>
    <w:p>
      <w:pPr>
        <w:pStyle w:val="22"/>
        <w:rPr>
          <w:rFonts w:ascii="仿宋_GB2312" w:eastAsia="仿宋_GB2312" w:hAnsiTheme="minorEastAsia"/>
          <w:color w:val="auto"/>
          <w:szCs w:val="21"/>
          <w:highlight w:val="none"/>
        </w:rPr>
      </w:pPr>
    </w:p>
    <w:p>
      <w:pPr>
        <w:pStyle w:val="22"/>
        <w:rPr>
          <w:rFonts w:ascii="仿宋_GB2312" w:eastAsia="仿宋_GB2312" w:hAnsiTheme="minorEastAsia"/>
          <w:color w:val="auto"/>
          <w:szCs w:val="21"/>
          <w:highlight w:val="none"/>
        </w:rPr>
      </w:pPr>
    </w:p>
    <w:p>
      <w:pPr>
        <w:pStyle w:val="22"/>
        <w:rPr>
          <w:rFonts w:ascii="仿宋_GB2312" w:eastAsia="仿宋_GB2312" w:hAnsiTheme="minorEastAsia"/>
          <w:color w:val="auto"/>
          <w:szCs w:val="21"/>
          <w:highlight w:val="none"/>
        </w:rPr>
      </w:pPr>
    </w:p>
    <w:p>
      <w:pPr>
        <w:pStyle w:val="22"/>
        <w:rPr>
          <w:rFonts w:ascii="仿宋_GB2312" w:eastAsia="仿宋_GB2312" w:hAnsiTheme="minorEastAsia"/>
          <w:color w:val="auto"/>
          <w:szCs w:val="21"/>
          <w:highlight w:val="none"/>
        </w:rPr>
      </w:pPr>
    </w:p>
    <w:p>
      <w:pPr>
        <w:pStyle w:val="22"/>
        <w:rPr>
          <w:rFonts w:ascii="仿宋_GB2312" w:eastAsia="仿宋_GB2312" w:hAnsiTheme="minorEastAsia"/>
          <w:color w:val="auto"/>
          <w:szCs w:val="21"/>
          <w:highlight w:val="none"/>
        </w:rPr>
      </w:pPr>
    </w:p>
    <w:p>
      <w:pPr>
        <w:pStyle w:val="22"/>
        <w:rPr>
          <w:rFonts w:ascii="仿宋_GB2312" w:eastAsia="仿宋_GB2312" w:hAnsiTheme="minorEastAsia"/>
          <w:color w:val="auto"/>
          <w:szCs w:val="21"/>
          <w:highlight w:val="none"/>
        </w:rPr>
      </w:pPr>
    </w:p>
    <w:p>
      <w:pPr>
        <w:pStyle w:val="22"/>
        <w:rPr>
          <w:rFonts w:ascii="仿宋_GB2312" w:eastAsia="仿宋_GB2312" w:hAnsiTheme="minorEastAsia"/>
          <w:color w:val="auto"/>
          <w:szCs w:val="21"/>
          <w:highlight w:val="none"/>
        </w:rPr>
      </w:pPr>
    </w:p>
    <w:p>
      <w:pPr>
        <w:pStyle w:val="22"/>
        <w:rPr>
          <w:rFonts w:ascii="仿宋_GB2312" w:eastAsia="仿宋_GB2312" w:hAnsiTheme="minorEastAsia"/>
          <w:color w:val="auto"/>
          <w:szCs w:val="21"/>
          <w:highlight w:val="none"/>
        </w:rPr>
      </w:pPr>
    </w:p>
    <w:p>
      <w:pPr>
        <w:pStyle w:val="22"/>
        <w:rPr>
          <w:rFonts w:ascii="仿宋_GB2312" w:eastAsia="仿宋_GB2312" w:hAnsiTheme="minorEastAsia"/>
          <w:color w:val="auto"/>
          <w:szCs w:val="21"/>
          <w:highlight w:val="none"/>
        </w:rPr>
      </w:pPr>
    </w:p>
    <w:p>
      <w:pPr>
        <w:pStyle w:val="22"/>
        <w:rPr>
          <w:rFonts w:ascii="仿宋_GB2312" w:eastAsia="仿宋_GB2312" w:hAnsiTheme="minorEastAsia"/>
          <w:color w:val="auto"/>
          <w:szCs w:val="21"/>
          <w:highlight w:val="none"/>
        </w:rPr>
      </w:pPr>
    </w:p>
    <w:p>
      <w:pPr>
        <w:adjustRightInd w:val="0"/>
        <w:snapToGrid w:val="0"/>
        <w:spacing w:line="600" w:lineRule="exact"/>
        <w:jc w:val="left"/>
        <w:rPr>
          <w:rFonts w:ascii="仿宋_GB2312" w:eastAsia="仿宋_GB2312" w:hAnsiTheme="minorEastAsia"/>
          <w:color w:val="auto"/>
          <w:szCs w:val="21"/>
          <w:highlight w:val="none"/>
        </w:rPr>
      </w:pPr>
    </w:p>
    <w:p>
      <w:pPr>
        <w:pStyle w:val="4"/>
        <w:rPr>
          <w:color w:val="auto"/>
          <w:highlight w:val="none"/>
        </w:rPr>
      </w:pPr>
      <w:r>
        <w:rPr>
          <w:rFonts w:hint="eastAsia"/>
          <w:color w:val="auto"/>
          <w:highlight w:val="none"/>
        </w:rPr>
        <w:sym w:font="Wingdings 2" w:char="00A3"/>
      </w:r>
      <w:r>
        <w:rPr>
          <w:rFonts w:hint="eastAsia"/>
          <w:color w:val="auto"/>
          <w:highlight w:val="none"/>
        </w:rPr>
        <w:t>综合评分法</w:t>
      </w:r>
    </w:p>
    <w:p>
      <w:pPr>
        <w:adjustRightInd w:val="0"/>
        <w:snapToGrid w:val="0"/>
        <w:spacing w:line="600" w:lineRule="exact"/>
        <w:jc w:val="left"/>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1.评审方法</w:t>
      </w:r>
    </w:p>
    <w:p>
      <w:pPr>
        <w:adjustRightInd w:val="0"/>
        <w:snapToGrid w:val="0"/>
        <w:spacing w:line="600" w:lineRule="exact"/>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 xml:space="preserve">   本次评审采用综合评分法。</w:t>
      </w:r>
    </w:p>
    <w:p>
      <w:pPr>
        <w:adjustRightInd w:val="0"/>
        <w:snapToGrid w:val="0"/>
        <w:spacing w:line="600" w:lineRule="exact"/>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 xml:space="preserve">   采购人可对采购文件中商务和技术条款设置带※号条款，带※号条款为实质性条款，供应商未实质性响应其中任一条款，其响应文件都将被否决。</w:t>
      </w:r>
    </w:p>
    <w:p>
      <w:pPr>
        <w:adjustRightInd w:val="0"/>
        <w:snapToGrid w:val="0"/>
        <w:spacing w:line="600" w:lineRule="exact"/>
        <w:jc w:val="left"/>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2.评审程序</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2.1 初步评审</w:t>
      </w:r>
    </w:p>
    <w:p>
      <w:pPr>
        <w:adjustRightInd w:val="0"/>
        <w:snapToGrid w:val="0"/>
        <w:spacing w:line="600" w:lineRule="exact"/>
        <w:jc w:val="left"/>
        <w:rPr>
          <w:rFonts w:ascii="仿宋_GB2312" w:eastAsia="仿宋_GB2312" w:hAnsiTheme="minorEastAsia"/>
          <w:color w:val="auto"/>
          <w:sz w:val="28"/>
          <w:szCs w:val="28"/>
          <w:highlight w:val="none"/>
        </w:rPr>
      </w:pPr>
      <w:r>
        <w:rPr>
          <w:rFonts w:ascii="仿宋_GB2312" w:eastAsia="仿宋_GB2312"/>
          <w:color w:val="auto"/>
          <w:sz w:val="28"/>
          <w:szCs w:val="28"/>
          <w:highlight w:val="none"/>
        </w:rPr>
        <w:t>表</w:t>
      </w:r>
      <w:r>
        <w:rPr>
          <w:rFonts w:hint="eastAsia" w:ascii="仿宋_GB2312" w:eastAsia="仿宋_GB2312"/>
          <w:color w:val="auto"/>
          <w:sz w:val="28"/>
          <w:szCs w:val="28"/>
          <w:highlight w:val="none"/>
        </w:rPr>
        <w:t>4-1                      初步评审标准</w:t>
      </w:r>
    </w:p>
    <w:tbl>
      <w:tblPr>
        <w:tblStyle w:val="24"/>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56"/>
        <w:gridCol w:w="2127"/>
        <w:gridCol w:w="552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1356"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评审环节</w:t>
            </w:r>
          </w:p>
        </w:tc>
        <w:tc>
          <w:tcPr>
            <w:tcW w:w="2127"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w:t>
            </w:r>
            <w:r>
              <w:rPr>
                <w:rFonts w:ascii="仿宋_GB2312" w:eastAsia="仿宋_GB2312"/>
                <w:color w:val="auto"/>
                <w:sz w:val="28"/>
                <w:szCs w:val="28"/>
                <w:highlight w:val="none"/>
              </w:rPr>
              <w:t>因素</w:t>
            </w:r>
          </w:p>
        </w:tc>
        <w:tc>
          <w:tcPr>
            <w:tcW w:w="5528"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w:t>
            </w:r>
            <w:r>
              <w:rPr>
                <w:rFonts w:ascii="仿宋_GB2312" w:eastAsia="仿宋_GB2312"/>
                <w:color w:val="auto"/>
                <w:sz w:val="28"/>
                <w:szCs w:val="28"/>
                <w:highlight w:val="none"/>
              </w:rPr>
              <w:t>标准</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56"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形式评审</w:t>
            </w:r>
          </w:p>
        </w:tc>
        <w:tc>
          <w:tcPr>
            <w:tcW w:w="2127" w:type="dxa"/>
            <w:tcBorders>
              <w:top w:val="single" w:color="auto" w:sz="4" w:space="0"/>
              <w:bottom w:val="single" w:color="auto" w:sz="4" w:space="0"/>
            </w:tcBorders>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响应函签字盖章</w:t>
            </w:r>
          </w:p>
        </w:tc>
        <w:tc>
          <w:tcPr>
            <w:tcW w:w="5528" w:type="dxa"/>
            <w:tcBorders>
              <w:top w:val="single" w:color="auto" w:sz="4" w:space="0"/>
              <w:bottom w:val="single" w:color="auto" w:sz="4" w:space="0"/>
            </w:tcBorders>
            <w:vAlign w:val="center"/>
          </w:tcPr>
          <w:p>
            <w:pPr>
              <w:adjustRightInd w:val="0"/>
              <w:snapToGrid w:val="0"/>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有响应函</w:t>
            </w:r>
            <w:r>
              <w:rPr>
                <w:rFonts w:hint="eastAsia" w:ascii="仿宋_GB2312" w:eastAsia="仿宋_GB2312"/>
                <w:color w:val="auto"/>
                <w:sz w:val="24"/>
                <w:szCs w:val="24"/>
                <w:highlight w:val="none"/>
              </w:rPr>
              <w:t>，</w:t>
            </w:r>
            <w:r>
              <w:rPr>
                <w:rFonts w:ascii="仿宋_GB2312" w:eastAsia="仿宋_GB2312"/>
                <w:color w:val="auto"/>
                <w:sz w:val="24"/>
                <w:szCs w:val="24"/>
                <w:highlight w:val="none"/>
              </w:rPr>
              <w:t>有法定代表人或其委托代理人签字并加盖单位章</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56" w:type="dxa"/>
            <w:vMerge w:val="continue"/>
            <w:vAlign w:val="center"/>
          </w:tcPr>
          <w:p>
            <w:pPr>
              <w:adjustRightInd w:val="0"/>
              <w:snapToGrid w:val="0"/>
              <w:jc w:val="center"/>
              <w:rPr>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响应文件格式</w:t>
            </w:r>
          </w:p>
        </w:tc>
        <w:tc>
          <w:tcPr>
            <w:tcW w:w="5528" w:type="dxa"/>
            <w:tcBorders>
              <w:top w:val="single" w:color="auto" w:sz="4" w:space="0"/>
              <w:bottom w:val="single" w:color="auto" w:sz="4" w:space="0"/>
            </w:tcBorders>
            <w:vAlign w:val="center"/>
          </w:tcPr>
          <w:p>
            <w:pPr>
              <w:adjustRightInd w:val="0"/>
              <w:snapToGrid w:val="0"/>
              <w:spacing w:line="600" w:lineRule="exact"/>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符合采购文件</w:t>
            </w:r>
            <w:r>
              <w:rPr>
                <w:rFonts w:hint="eastAsia" w:ascii="仿宋_GB2312" w:eastAsia="仿宋_GB2312"/>
                <w:color w:val="auto"/>
                <w:sz w:val="24"/>
                <w:szCs w:val="24"/>
                <w:highlight w:val="none"/>
              </w:rPr>
              <w:t>“响应文件格式”要求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356" w:type="dxa"/>
            <w:vMerge w:val="continue"/>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tcBorders>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报价唯一</w:t>
            </w:r>
          </w:p>
        </w:tc>
        <w:tc>
          <w:tcPr>
            <w:tcW w:w="5528" w:type="dxa"/>
            <w:tcBorders>
              <w:top w:val="single" w:color="auto" w:sz="4" w:space="0"/>
            </w:tcBorders>
            <w:vAlign w:val="center"/>
          </w:tcPr>
          <w:p>
            <w:pPr>
              <w:adjustRightInd w:val="0"/>
              <w:snapToGrid w:val="0"/>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只能有一个有效报价</w:t>
            </w:r>
            <w:r>
              <w:rPr>
                <w:rFonts w:hint="eastAsia" w:ascii="仿宋_GB2312" w:eastAsia="仿宋_GB2312"/>
                <w:color w:val="auto"/>
                <w:sz w:val="24"/>
                <w:szCs w:val="24"/>
                <w:highlight w:val="none"/>
              </w:rPr>
              <w:t>，</w:t>
            </w:r>
            <w:r>
              <w:rPr>
                <w:rFonts w:ascii="仿宋_GB2312" w:eastAsia="仿宋_GB2312"/>
                <w:color w:val="auto"/>
                <w:sz w:val="24"/>
                <w:szCs w:val="24"/>
                <w:highlight w:val="none"/>
              </w:rPr>
              <w:t>按采购文件规定提交备选方案除外</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356" w:type="dxa"/>
            <w:vMerge w:val="restart"/>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资格评审</w:t>
            </w:r>
          </w:p>
        </w:tc>
        <w:tc>
          <w:tcPr>
            <w:tcW w:w="2127"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营业执照</w:t>
            </w:r>
          </w:p>
        </w:tc>
        <w:tc>
          <w:tcPr>
            <w:tcW w:w="5528" w:type="dxa"/>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rPr>
              <w:t>报价单位须是在中华人民共和国境内注册的法人或其他组织，具有独立法人资格，持有事业单位登记管理部门核发的事业单位法人证书或工商行政管理部门核发的企业法人营业执照，且在有效期内。</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56" w:type="dxa"/>
            <w:vMerge w:val="continue"/>
            <w:vAlign w:val="center"/>
          </w:tcPr>
          <w:p>
            <w:pPr>
              <w:adjustRightInd w:val="0"/>
              <w:snapToGrid w:val="0"/>
              <w:jc w:val="center"/>
              <w:rPr>
                <w:rFonts w:ascii="仿宋_GB2312" w:eastAsia="仿宋_GB2312"/>
                <w:color w:val="auto"/>
                <w:sz w:val="24"/>
                <w:szCs w:val="24"/>
                <w:highlight w:val="none"/>
              </w:rPr>
            </w:pPr>
          </w:p>
        </w:tc>
        <w:tc>
          <w:tcPr>
            <w:tcW w:w="2127"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供应商资格</w:t>
            </w:r>
          </w:p>
        </w:tc>
        <w:tc>
          <w:tcPr>
            <w:tcW w:w="5528" w:type="dxa"/>
            <w:tcBorders>
              <w:bottom w:val="single" w:color="auto" w:sz="4" w:space="0"/>
            </w:tcBorders>
            <w:vAlign w:val="center"/>
          </w:tcPr>
          <w:p>
            <w:pPr>
              <w:adjustRightInd w:val="0"/>
              <w:snapToGrid w:val="0"/>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满足法律法规及采购文件</w:t>
            </w:r>
            <w:r>
              <w:rPr>
                <w:rFonts w:hint="eastAsia" w:ascii="仿宋_GB2312" w:eastAsia="仿宋_GB2312"/>
                <w:color w:val="auto"/>
                <w:sz w:val="24"/>
                <w:szCs w:val="24"/>
                <w:highlight w:val="none"/>
              </w:rPr>
              <w:t>供应商资格要求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restart"/>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响应性</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评审</w:t>
            </w:r>
          </w:p>
        </w:tc>
        <w:tc>
          <w:tcPr>
            <w:tcW w:w="2127" w:type="dxa"/>
            <w:tcBorders>
              <w:top w:val="single" w:color="auto" w:sz="4" w:space="0"/>
              <w:bottom w:val="single" w:color="auto" w:sz="4" w:space="0"/>
            </w:tcBorders>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报价</w:t>
            </w:r>
          </w:p>
        </w:tc>
        <w:tc>
          <w:tcPr>
            <w:tcW w:w="5528" w:type="dxa"/>
            <w:tcBorders>
              <w:top w:val="single" w:color="auto" w:sz="4" w:space="0"/>
              <w:bottom w:val="single" w:color="auto" w:sz="4" w:space="0"/>
            </w:tcBorders>
            <w:vAlign w:val="center"/>
          </w:tcPr>
          <w:p>
            <w:pPr>
              <w:adjustRightInd w:val="0"/>
              <w:snapToGrid w:val="0"/>
              <w:rPr>
                <w:rFonts w:hint="eastAsia"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没有超过最高限价</w:t>
            </w:r>
            <w:r>
              <w:rPr>
                <w:rFonts w:hint="eastAsia" w:ascii="仿宋_GB2312" w:eastAsia="仿宋_GB2312"/>
                <w:color w:val="auto"/>
                <w:sz w:val="24"/>
                <w:szCs w:val="24"/>
                <w:highlight w:val="none"/>
                <w:lang w:eastAsia="zh-CN"/>
              </w:rPr>
              <w:t>；若报价低于本项目最高限价的60%，必须说明报价理由。</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continue"/>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jc w:val="center"/>
              <w:rPr>
                <w:rFonts w:hint="eastAsia"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其他</w:t>
            </w:r>
          </w:p>
        </w:tc>
        <w:tc>
          <w:tcPr>
            <w:tcW w:w="5528" w:type="dxa"/>
            <w:tcBorders>
              <w:top w:val="single" w:color="auto" w:sz="4" w:space="0"/>
              <w:bottom w:val="single" w:color="auto" w:sz="4" w:space="0"/>
            </w:tcBorders>
            <w:vAlign w:val="center"/>
          </w:tcPr>
          <w:p>
            <w:pPr>
              <w:adjustRightInd w:val="0"/>
              <w:snapToGrid w:val="0"/>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rPr>
              <w:t>采购文件要求必须提供的其他资料</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356" w:type="dxa"/>
            <w:vMerge w:val="continue"/>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jc w:val="center"/>
              <w:rPr>
                <w:rFonts w:hint="default"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其他无效响应</w:t>
            </w:r>
          </w:p>
        </w:tc>
        <w:tc>
          <w:tcPr>
            <w:tcW w:w="5528" w:type="dxa"/>
            <w:tcBorders>
              <w:top w:val="single" w:color="auto" w:sz="4" w:space="0"/>
              <w:bottom w:val="single" w:color="auto" w:sz="4" w:space="0"/>
              <w:right w:val="single" w:color="auto" w:sz="4" w:space="0"/>
            </w:tcBorders>
            <w:vAlign w:val="center"/>
          </w:tcPr>
          <w:p>
            <w:pPr>
              <w:adjustRightInd w:val="0"/>
              <w:snapToGrid w:val="0"/>
              <w:rPr>
                <w:rFonts w:ascii="仿宋_GB2312" w:eastAsia="仿宋_GB2312" w:hAnsiTheme="minorHAnsi" w:cstheme="minorBidi"/>
                <w:color w:val="auto"/>
                <w:kern w:val="2"/>
                <w:sz w:val="24"/>
                <w:szCs w:val="24"/>
                <w:highlight w:val="none"/>
                <w:lang w:val="en-US" w:eastAsia="zh-CN" w:bidi="ar-SA"/>
              </w:rPr>
            </w:pPr>
            <w:r>
              <w:rPr>
                <w:rFonts w:ascii="仿宋_GB2312" w:eastAsia="仿宋_GB2312"/>
                <w:color w:val="auto"/>
                <w:sz w:val="24"/>
                <w:szCs w:val="24"/>
                <w:highlight w:val="none"/>
              </w:rPr>
              <w:t>无法律法规及采购文件规定的其他无效响应内容</w:t>
            </w:r>
          </w:p>
        </w:tc>
      </w:tr>
    </w:tbl>
    <w:p>
      <w:pPr>
        <w:adjustRightInd w:val="0"/>
        <w:snapToGrid w:val="0"/>
        <w:spacing w:line="400" w:lineRule="exact"/>
        <w:jc w:val="left"/>
        <w:rPr>
          <w:rFonts w:ascii="仿宋_GB2312" w:eastAsia="仿宋_GB2312" w:hAnsiTheme="minorEastAsia"/>
          <w:color w:val="auto"/>
          <w:szCs w:val="21"/>
          <w:highlight w:val="none"/>
        </w:rPr>
      </w:pPr>
      <w:r>
        <w:rPr>
          <w:rFonts w:hint="eastAsia" w:ascii="仿宋_GB2312" w:eastAsia="仿宋_GB2312" w:hAnsiTheme="minorEastAsia"/>
          <w:color w:val="auto"/>
          <w:szCs w:val="21"/>
          <w:highlight w:val="none"/>
        </w:rPr>
        <w:t>说明：初步评审活动依照形式评审、资格评审、响应性评审顺序进行，前一个环节不符合采购文件要求的不得进入下一个环节。</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2.2详细评审</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对通过初步评审的响应文件进行详细评审。详细评审包括商务评审、技术评审和价格评审。</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4"/>
          <w:szCs w:val="24"/>
          <w:highlight w:val="none"/>
        </w:rPr>
        <w:t>□</w:t>
      </w:r>
      <w:r>
        <w:rPr>
          <w:rFonts w:hint="eastAsia" w:ascii="仿宋_GB2312" w:eastAsia="仿宋_GB2312" w:hAnsiTheme="minorEastAsia"/>
          <w:color w:val="auto"/>
          <w:sz w:val="28"/>
          <w:szCs w:val="28"/>
          <w:highlight w:val="none"/>
        </w:rPr>
        <w:t>2.2.1商务评审</w:t>
      </w:r>
    </w:p>
    <w:p>
      <w:pPr>
        <w:adjustRightInd w:val="0"/>
        <w:snapToGrid w:val="0"/>
        <w:spacing w:line="600" w:lineRule="exact"/>
        <w:jc w:val="left"/>
        <w:rPr>
          <w:rFonts w:ascii="仿宋_GB2312" w:eastAsia="仿宋_GB2312" w:hAnsiTheme="minorEastAsia"/>
          <w:color w:val="auto"/>
          <w:sz w:val="28"/>
          <w:szCs w:val="28"/>
          <w:highlight w:val="none"/>
        </w:rPr>
      </w:pPr>
      <w:r>
        <w:rPr>
          <w:rFonts w:ascii="仿宋_GB2312" w:eastAsia="仿宋_GB2312"/>
          <w:color w:val="auto"/>
          <w:sz w:val="28"/>
          <w:szCs w:val="28"/>
          <w:highlight w:val="none"/>
        </w:rPr>
        <w:t>表</w:t>
      </w:r>
      <w:r>
        <w:rPr>
          <w:rFonts w:hint="eastAsia" w:ascii="仿宋_GB2312" w:eastAsia="仿宋_GB2312"/>
          <w:color w:val="auto"/>
          <w:sz w:val="28"/>
          <w:szCs w:val="28"/>
          <w:highlight w:val="none"/>
        </w:rPr>
        <w:t>4-2                      商务评审因素（</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分）</w:t>
      </w:r>
    </w:p>
    <w:tbl>
      <w:tblPr>
        <w:tblStyle w:val="24"/>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56"/>
        <w:gridCol w:w="2127"/>
        <w:gridCol w:w="1559"/>
        <w:gridCol w:w="3969"/>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序号</w:t>
            </w:r>
          </w:p>
        </w:tc>
        <w:tc>
          <w:tcPr>
            <w:tcW w:w="2127"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w:t>
            </w:r>
            <w:r>
              <w:rPr>
                <w:rFonts w:ascii="仿宋_GB2312" w:eastAsia="仿宋_GB2312"/>
                <w:color w:val="auto"/>
                <w:sz w:val="28"/>
                <w:szCs w:val="28"/>
                <w:highlight w:val="none"/>
              </w:rPr>
              <w:t>因素</w:t>
            </w:r>
          </w:p>
        </w:tc>
        <w:tc>
          <w:tcPr>
            <w:tcW w:w="1559"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8"/>
                <w:szCs w:val="28"/>
                <w:highlight w:val="none"/>
              </w:rPr>
            </w:pPr>
            <w:r>
              <w:rPr>
                <w:rFonts w:ascii="仿宋_GB2312" w:eastAsia="仿宋_GB2312"/>
                <w:color w:val="auto"/>
                <w:sz w:val="28"/>
                <w:szCs w:val="28"/>
                <w:highlight w:val="none"/>
              </w:rPr>
              <w:t>分值权重</w:t>
            </w:r>
          </w:p>
        </w:tc>
        <w:tc>
          <w:tcPr>
            <w:tcW w:w="3969"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评分细则</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1</w:t>
            </w:r>
          </w:p>
        </w:tc>
        <w:tc>
          <w:tcPr>
            <w:tcW w:w="2127"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15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396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2</w:t>
            </w:r>
          </w:p>
        </w:tc>
        <w:tc>
          <w:tcPr>
            <w:tcW w:w="2127"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15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396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3</w:t>
            </w:r>
          </w:p>
        </w:tc>
        <w:tc>
          <w:tcPr>
            <w:tcW w:w="2127"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15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396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w:t>
            </w:r>
          </w:p>
        </w:tc>
        <w:tc>
          <w:tcPr>
            <w:tcW w:w="2127"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15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396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r>
    </w:tbl>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4"/>
          <w:szCs w:val="24"/>
          <w:highlight w:val="none"/>
        </w:rPr>
        <w:t>□</w:t>
      </w:r>
      <w:r>
        <w:rPr>
          <w:rFonts w:hint="eastAsia" w:ascii="仿宋_GB2312" w:eastAsia="仿宋_GB2312" w:hAnsiTheme="minorEastAsia"/>
          <w:color w:val="auto"/>
          <w:sz w:val="28"/>
          <w:szCs w:val="28"/>
          <w:highlight w:val="none"/>
        </w:rPr>
        <w:t>2.2.2技术评审</w:t>
      </w:r>
    </w:p>
    <w:p>
      <w:pPr>
        <w:adjustRightInd w:val="0"/>
        <w:snapToGrid w:val="0"/>
        <w:spacing w:line="600" w:lineRule="exact"/>
        <w:jc w:val="left"/>
        <w:rPr>
          <w:rFonts w:ascii="仿宋_GB2312" w:eastAsia="仿宋_GB2312" w:hAnsiTheme="minorEastAsia"/>
          <w:color w:val="auto"/>
          <w:sz w:val="28"/>
          <w:szCs w:val="28"/>
          <w:highlight w:val="none"/>
        </w:rPr>
      </w:pPr>
      <w:r>
        <w:rPr>
          <w:rFonts w:ascii="仿宋_GB2312" w:eastAsia="仿宋_GB2312"/>
          <w:color w:val="auto"/>
          <w:sz w:val="28"/>
          <w:szCs w:val="28"/>
          <w:highlight w:val="none"/>
        </w:rPr>
        <w:t>表</w:t>
      </w:r>
      <w:r>
        <w:rPr>
          <w:rFonts w:hint="eastAsia" w:ascii="仿宋_GB2312" w:eastAsia="仿宋_GB2312"/>
          <w:color w:val="auto"/>
          <w:sz w:val="28"/>
          <w:szCs w:val="28"/>
          <w:highlight w:val="none"/>
        </w:rPr>
        <w:t>4-3                      技术评审因素（</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分）</w:t>
      </w:r>
    </w:p>
    <w:tbl>
      <w:tblPr>
        <w:tblStyle w:val="24"/>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56"/>
        <w:gridCol w:w="2127"/>
        <w:gridCol w:w="1559"/>
        <w:gridCol w:w="3969"/>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序号</w:t>
            </w:r>
          </w:p>
        </w:tc>
        <w:tc>
          <w:tcPr>
            <w:tcW w:w="2127"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w:t>
            </w:r>
            <w:r>
              <w:rPr>
                <w:rFonts w:ascii="仿宋_GB2312" w:eastAsia="仿宋_GB2312"/>
                <w:color w:val="auto"/>
                <w:sz w:val="28"/>
                <w:szCs w:val="28"/>
                <w:highlight w:val="none"/>
              </w:rPr>
              <w:t>因素</w:t>
            </w:r>
          </w:p>
        </w:tc>
        <w:tc>
          <w:tcPr>
            <w:tcW w:w="1559"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8"/>
                <w:szCs w:val="28"/>
                <w:highlight w:val="none"/>
              </w:rPr>
            </w:pPr>
            <w:r>
              <w:rPr>
                <w:rFonts w:ascii="仿宋_GB2312" w:eastAsia="仿宋_GB2312"/>
                <w:color w:val="auto"/>
                <w:sz w:val="28"/>
                <w:szCs w:val="28"/>
                <w:highlight w:val="none"/>
              </w:rPr>
              <w:t>分值权重</w:t>
            </w:r>
          </w:p>
        </w:tc>
        <w:tc>
          <w:tcPr>
            <w:tcW w:w="3969"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评分细则</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1</w:t>
            </w:r>
          </w:p>
        </w:tc>
        <w:tc>
          <w:tcPr>
            <w:tcW w:w="2127"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15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396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2</w:t>
            </w:r>
          </w:p>
        </w:tc>
        <w:tc>
          <w:tcPr>
            <w:tcW w:w="2127"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15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396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w:t>
            </w:r>
          </w:p>
        </w:tc>
        <w:tc>
          <w:tcPr>
            <w:tcW w:w="2127" w:type="dxa"/>
            <w:tcBorders>
              <w:top w:val="single" w:color="auto" w:sz="4" w:space="0"/>
              <w:bottom w:val="single" w:color="auto" w:sz="4" w:space="0"/>
            </w:tcBorders>
            <w:vAlign w:val="center"/>
          </w:tcPr>
          <w:p>
            <w:pPr>
              <w:adjustRightInd w:val="0"/>
              <w:snapToGrid w:val="0"/>
              <w:jc w:val="left"/>
              <w:rPr>
                <w:rFonts w:ascii="仿宋_GB2312" w:eastAsia="仿宋_GB2312" w:hAnsiTheme="minorEastAsia"/>
                <w:color w:val="auto"/>
                <w:sz w:val="24"/>
                <w:szCs w:val="24"/>
                <w:highlight w:val="none"/>
              </w:rPr>
            </w:pPr>
          </w:p>
        </w:tc>
        <w:tc>
          <w:tcPr>
            <w:tcW w:w="15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c>
          <w:tcPr>
            <w:tcW w:w="396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p>
        </w:tc>
      </w:tr>
    </w:tbl>
    <w:p>
      <w:pPr>
        <w:adjustRightInd w:val="0"/>
        <w:snapToGrid w:val="0"/>
        <w:spacing w:line="400" w:lineRule="exact"/>
        <w:jc w:val="left"/>
        <w:rPr>
          <w:rFonts w:ascii="仿宋_GB2312" w:eastAsia="仿宋_GB2312" w:hAnsiTheme="minorEastAsia"/>
          <w:color w:val="auto"/>
          <w:szCs w:val="21"/>
          <w:highlight w:val="none"/>
        </w:rPr>
      </w:pPr>
      <w:r>
        <w:rPr>
          <w:rFonts w:hint="eastAsia" w:ascii="仿宋_GB2312" w:eastAsia="仿宋_GB2312" w:hAnsiTheme="minorEastAsia"/>
          <w:color w:val="auto"/>
          <w:szCs w:val="21"/>
          <w:highlight w:val="none"/>
        </w:rPr>
        <w:t>说明：对于施工技术方案简单、工期较短、季节性强的中小型工程，或者标准通用设备、材料及服务的采购，可以不要求供应商编制施工组织设计、安装调试方案或服务大纲等技术文件，评审时不进行技术评审。</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2.2.3澄清补正</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2.2.3.1响应报价有算术错误的，评审小组按以下原则对响应报价进行修正，修正的价格经供应商书面确认后具有约束力。供应商不接受修正价格的，评审小组应当否决其响应。</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（1）响应文件中的大写金额与小写金额不一致的，以大写金额为准。</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（2）总价金额与依据单价计算出的结果不一致的，以单价金额为准修正总价，但单价金额小数点有明显错误的除外。</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（3）采购文件中有规定固定费率标准或固定金额的，或者有固定费率标准或固定金额的计算公式的，应按规定填报，否则由评审小组按照采购文件规定的费率、金额或者其计算公式进行修正</w:t>
      </w:r>
      <w:r>
        <w:rPr>
          <w:rFonts w:hint="eastAsia" w:ascii="仿宋_GB2312" w:eastAsia="仿宋_GB2312" w:hAnsiTheme="minorEastAsia"/>
          <w:color w:val="auto"/>
          <w:sz w:val="28"/>
          <w:szCs w:val="28"/>
          <w:highlight w:val="none"/>
          <w:lang w:val="en-US" w:eastAsia="zh-CN"/>
        </w:rPr>
        <w:t>或</w:t>
      </w:r>
      <w:r>
        <w:rPr>
          <w:rFonts w:hint="eastAsia" w:ascii="仿宋_GB2312" w:eastAsia="仿宋_GB2312" w:hAnsiTheme="minorEastAsia"/>
          <w:color w:val="auto"/>
          <w:sz w:val="28"/>
          <w:szCs w:val="28"/>
          <w:highlight w:val="none"/>
        </w:rPr>
        <w:t>否决其响应。</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2.2.3.2响应文件存在 含义不清、针对同一事项前后表述不一致、明显文字或计算错误的，评审小组可以要求供应商进行澄清、说明和补正，澄清、说明和补正不得超出响应文件的范围或改变响应文件的实质性内容，超出部分不作为评审小组相应评审的依据</w:t>
      </w:r>
      <w:r>
        <w:rPr>
          <w:rFonts w:hint="eastAsia" w:ascii="仿宋_GB2312" w:eastAsia="仿宋_GB2312" w:hAnsiTheme="minorEastAsia"/>
          <w:color w:val="auto"/>
          <w:sz w:val="28"/>
          <w:szCs w:val="28"/>
          <w:highlight w:val="none"/>
          <w:lang w:val="en-US" w:eastAsia="zh-CN"/>
        </w:rPr>
        <w:t>或</w:t>
      </w:r>
      <w:r>
        <w:rPr>
          <w:rFonts w:hint="eastAsia" w:ascii="仿宋_GB2312" w:eastAsia="仿宋_GB2312" w:hAnsiTheme="minorEastAsia"/>
          <w:color w:val="auto"/>
          <w:sz w:val="28"/>
          <w:szCs w:val="28"/>
          <w:highlight w:val="none"/>
        </w:rPr>
        <w:t>否决其响应。</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2.2.4 价格评审</w:t>
      </w:r>
    </w:p>
    <w:p>
      <w:pPr>
        <w:adjustRightInd w:val="0"/>
        <w:snapToGrid w:val="0"/>
        <w:spacing w:line="600" w:lineRule="exact"/>
        <w:jc w:val="left"/>
        <w:rPr>
          <w:rFonts w:ascii="仿宋_GB2312" w:eastAsia="仿宋_GB2312" w:hAnsiTheme="minorEastAsia"/>
          <w:color w:val="auto"/>
          <w:sz w:val="28"/>
          <w:szCs w:val="28"/>
          <w:highlight w:val="none"/>
        </w:rPr>
      </w:pPr>
      <w:r>
        <w:rPr>
          <w:rFonts w:ascii="仿宋_GB2312" w:eastAsia="仿宋_GB2312"/>
          <w:color w:val="auto"/>
          <w:sz w:val="28"/>
          <w:szCs w:val="28"/>
          <w:highlight w:val="none"/>
        </w:rPr>
        <w:t>表</w:t>
      </w:r>
      <w:r>
        <w:rPr>
          <w:rFonts w:hint="eastAsia" w:ascii="仿宋_GB2312" w:eastAsia="仿宋_GB2312"/>
          <w:color w:val="auto"/>
          <w:sz w:val="28"/>
          <w:szCs w:val="28"/>
          <w:highlight w:val="none"/>
        </w:rPr>
        <w:t>4-4                      价格折算分值的办法</w:t>
      </w:r>
    </w:p>
    <w:tbl>
      <w:tblPr>
        <w:tblStyle w:val="24"/>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56"/>
        <w:gridCol w:w="7683"/>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序号</w:t>
            </w:r>
          </w:p>
        </w:tc>
        <w:tc>
          <w:tcPr>
            <w:tcW w:w="7683"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规则</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1</w:t>
            </w:r>
          </w:p>
        </w:tc>
        <w:tc>
          <w:tcPr>
            <w:tcW w:w="7683"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通过初审的合格供应商进入评审基准价计算程序</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16"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2</w:t>
            </w:r>
          </w:p>
        </w:tc>
        <w:tc>
          <w:tcPr>
            <w:tcW w:w="7683"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确定基准价</w:t>
            </w:r>
          </w:p>
          <w:p>
            <w:pPr>
              <w:adjustRightInd w:val="0"/>
              <w:snapToGrid w:val="0"/>
              <w:ind w:left="240" w:hanging="240" w:hangingChars="100"/>
              <w:jc w:val="left"/>
              <w:rPr>
                <w:rFonts w:ascii="仿宋_GB2312" w:eastAsia="仿宋_GB2312"/>
                <w:color w:val="auto"/>
                <w:sz w:val="24"/>
                <w:szCs w:val="24"/>
                <w:highlight w:val="none"/>
              </w:rPr>
            </w:pPr>
            <w:bookmarkStart w:id="60" w:name="OLE_LINK6"/>
            <w:bookmarkStart w:id="61" w:name="OLE_LINK5"/>
            <w:r>
              <w:rPr>
                <w:rFonts w:hint="eastAsia" w:ascii="仿宋_GB2312" w:eastAsia="仿宋_GB2312" w:hAnsiTheme="minorEastAsia"/>
                <w:color w:val="auto"/>
                <w:sz w:val="24"/>
                <w:szCs w:val="24"/>
                <w:highlight w:val="none"/>
              </w:rPr>
              <w:t>□</w:t>
            </w:r>
            <w:bookmarkEnd w:id="60"/>
            <w:bookmarkEnd w:id="61"/>
            <w:r>
              <w:rPr>
                <w:rFonts w:hint="eastAsia" w:ascii="仿宋_GB2312" w:eastAsia="仿宋_GB2312"/>
                <w:color w:val="auto"/>
                <w:sz w:val="24"/>
                <w:szCs w:val="24"/>
                <w:highlight w:val="none"/>
              </w:rPr>
              <w:t>当</w:t>
            </w:r>
            <w:r>
              <w:rPr>
                <w:rFonts w:ascii="仿宋_GB2312" w:eastAsia="仿宋_GB2312"/>
                <w:color w:val="auto"/>
                <w:sz w:val="24"/>
                <w:szCs w:val="24"/>
                <w:highlight w:val="none"/>
              </w:rPr>
              <w:t>合格供应商的数量＜</w:t>
            </w:r>
            <w:r>
              <w:rPr>
                <w:rFonts w:hint="eastAsia" w:ascii="仿宋_GB2312" w:eastAsia="仿宋_GB2312"/>
                <w:color w:val="auto"/>
                <w:sz w:val="24"/>
                <w:szCs w:val="24"/>
                <w:highlight w:val="none"/>
              </w:rPr>
              <w:t>5家时，所有合格供应商报价的算术平均值作为基准价；当合格供应商的数量≥5家时，扣除一个最高报价和一个最低报价后的算术平均值作为基准价</w:t>
            </w:r>
          </w:p>
          <w:p>
            <w:pPr>
              <w:adjustRightInd w:val="0"/>
              <w:snapToGrid w:val="0"/>
              <w:ind w:left="240" w:hanging="240" w:hangingChars="100"/>
              <w:jc w:val="left"/>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t>□以合格供应商报价的最低价作为基准价</w:t>
            </w:r>
          </w:p>
          <w:p>
            <w:pPr>
              <w:adjustRightInd w:val="0"/>
              <w:snapToGrid w:val="0"/>
              <w:ind w:left="240" w:hanging="240" w:hangingChars="100"/>
              <w:jc w:val="left"/>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t>□其他方法</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60" w:hRule="atLeast"/>
          <w:tblHeader/>
        </w:trPr>
        <w:tc>
          <w:tcPr>
            <w:tcW w:w="1356"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3</w:t>
            </w:r>
          </w:p>
        </w:tc>
        <w:tc>
          <w:tcPr>
            <w:tcW w:w="7683"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t>□合格</w:t>
            </w:r>
            <w:r>
              <w:rPr>
                <w:rFonts w:hint="eastAsia" w:ascii="仿宋_GB2312" w:eastAsia="仿宋_GB2312"/>
                <w:color w:val="auto"/>
                <w:sz w:val="24"/>
                <w:szCs w:val="24"/>
                <w:highlight w:val="none"/>
              </w:rPr>
              <w:t>供应商的报价与基准价相比，每高于基准价1%扣</w:t>
            </w:r>
            <w:r>
              <w:rPr>
                <w:rFonts w:hint="eastAsia" w:ascii="仿宋_GB2312" w:eastAsia="仿宋_GB2312"/>
                <w:color w:val="auto"/>
                <w:sz w:val="24"/>
                <w:szCs w:val="24"/>
                <w:highlight w:val="none"/>
                <w:u w:val="single"/>
              </w:rPr>
              <w:t xml:space="preserve">   </w:t>
            </w:r>
            <w:r>
              <w:rPr>
                <w:rFonts w:hint="eastAsia" w:ascii="仿宋_GB2312" w:eastAsia="仿宋_GB2312"/>
                <w:color w:val="auto"/>
                <w:sz w:val="24"/>
                <w:szCs w:val="24"/>
                <w:highlight w:val="none"/>
              </w:rPr>
              <w:t xml:space="preserve">分，每低于基准价1%扣 </w:t>
            </w:r>
            <w:r>
              <w:rPr>
                <w:rFonts w:hint="eastAsia" w:ascii="仿宋_GB2312" w:eastAsia="仿宋_GB2312"/>
                <w:color w:val="auto"/>
                <w:sz w:val="24"/>
                <w:szCs w:val="24"/>
                <w:highlight w:val="none"/>
                <w:u w:val="single"/>
              </w:rPr>
              <w:t xml:space="preserve">   </w:t>
            </w:r>
            <w:r>
              <w:rPr>
                <w:rFonts w:hint="eastAsia" w:ascii="仿宋_GB2312" w:eastAsia="仿宋_GB2312"/>
                <w:color w:val="auto"/>
                <w:sz w:val="24"/>
                <w:szCs w:val="24"/>
                <w:highlight w:val="none"/>
              </w:rPr>
              <w:t>分，按插入法进行计算。</w:t>
            </w:r>
          </w:p>
          <w:p>
            <w:pPr>
              <w:adjustRightInd w:val="0"/>
              <w:snapToGrid w:val="0"/>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□合格供应商的价格折算分=合格供应商报价的最低价/合格供应商报价</w:t>
            </w:r>
          </w:p>
          <w:p>
            <w:pPr>
              <w:adjustRightInd w:val="0"/>
              <w:snapToGrid w:val="0"/>
              <w:jc w:val="left"/>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t>□其他方法</w:t>
            </w:r>
          </w:p>
        </w:tc>
      </w:tr>
    </w:tbl>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Cs w:val="21"/>
          <w:highlight w:val="none"/>
        </w:rPr>
        <w:t>说明：供应商有多轮报价的，按最终报价计算。</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2.3 评审结果</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计算供应商综合得分。</w:t>
      </w:r>
    </w:p>
    <w:p>
      <w:pPr>
        <w:adjustRightInd w:val="0"/>
        <w:snapToGrid w:val="0"/>
        <w:spacing w:line="600" w:lineRule="exact"/>
        <w:ind w:left="1672" w:leftChars="263" w:hanging="1120" w:hangingChars="40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评审得分=商务分×商务部分权重+技术分×技术部分权重+价格分×价格部分权重</w:t>
      </w:r>
    </w:p>
    <w:p>
      <w:pPr>
        <w:adjustRightInd w:val="0"/>
        <w:snapToGrid w:val="0"/>
        <w:spacing w:line="600" w:lineRule="exact"/>
        <w:jc w:val="left"/>
        <w:rPr>
          <w:rFonts w:ascii="仿宋_GB2312" w:eastAsia="仿宋_GB2312" w:hAnsiTheme="minorEastAsia"/>
          <w:color w:val="auto"/>
          <w:szCs w:val="21"/>
          <w:highlight w:val="none"/>
        </w:rPr>
      </w:pPr>
      <w:r>
        <w:rPr>
          <w:rFonts w:hint="eastAsia" w:ascii="仿宋_GB2312" w:eastAsia="仿宋_GB2312" w:hAnsiTheme="minorEastAsia"/>
          <w:color w:val="auto"/>
          <w:sz w:val="28"/>
          <w:szCs w:val="28"/>
          <w:highlight w:val="none"/>
        </w:rPr>
        <w:t>综合得分最高的为排名第一的候选成交供应商；如综合得分相同，可依照□报价  □业绩   □其他</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考量因素得分排序确定供应商排名。</w:t>
      </w:r>
    </w:p>
    <w:p>
      <w:pPr>
        <w:adjustRightInd w:val="0"/>
        <w:snapToGrid w:val="0"/>
        <w:spacing w:line="600" w:lineRule="exact"/>
        <w:jc w:val="left"/>
        <w:rPr>
          <w:rFonts w:ascii="仿宋_GB2312" w:eastAsia="仿宋_GB2312" w:hAnsiTheme="minorEastAsia"/>
          <w:color w:val="auto"/>
          <w:szCs w:val="21"/>
          <w:highlight w:val="none"/>
        </w:rPr>
      </w:pPr>
    </w:p>
    <w:p>
      <w:pPr>
        <w:adjustRightInd w:val="0"/>
        <w:snapToGrid w:val="0"/>
        <w:spacing w:line="600" w:lineRule="exact"/>
        <w:jc w:val="left"/>
        <w:rPr>
          <w:rFonts w:ascii="仿宋_GB2312" w:eastAsia="仿宋_GB2312" w:hAnsiTheme="minorEastAsia"/>
          <w:color w:val="auto"/>
          <w:szCs w:val="21"/>
          <w:highlight w:val="none"/>
        </w:rPr>
      </w:pPr>
    </w:p>
    <w:p>
      <w:pPr>
        <w:adjustRightInd w:val="0"/>
        <w:snapToGrid w:val="0"/>
        <w:spacing w:line="600" w:lineRule="exact"/>
        <w:jc w:val="left"/>
        <w:rPr>
          <w:rFonts w:ascii="仿宋_GB2312" w:eastAsia="仿宋_GB2312" w:hAnsiTheme="minorEastAsia"/>
          <w:color w:val="auto"/>
          <w:szCs w:val="21"/>
          <w:highlight w:val="none"/>
        </w:rPr>
      </w:pPr>
    </w:p>
    <w:p>
      <w:pPr>
        <w:adjustRightInd w:val="0"/>
        <w:snapToGrid w:val="0"/>
        <w:spacing w:line="600" w:lineRule="exact"/>
        <w:jc w:val="left"/>
        <w:rPr>
          <w:rFonts w:ascii="仿宋_GB2312" w:eastAsia="仿宋_GB2312" w:hAnsiTheme="minorEastAsia"/>
          <w:color w:val="auto"/>
          <w:szCs w:val="21"/>
          <w:highlight w:val="none"/>
        </w:rPr>
      </w:pPr>
    </w:p>
    <w:p>
      <w:pPr>
        <w:adjustRightInd w:val="0"/>
        <w:snapToGrid w:val="0"/>
        <w:spacing w:line="600" w:lineRule="exact"/>
        <w:jc w:val="left"/>
        <w:rPr>
          <w:rFonts w:ascii="仿宋_GB2312" w:eastAsia="仿宋_GB2312" w:hAnsiTheme="minorEastAsia"/>
          <w:color w:val="auto"/>
          <w:szCs w:val="21"/>
          <w:highlight w:val="none"/>
        </w:rPr>
      </w:pPr>
    </w:p>
    <w:p>
      <w:pPr>
        <w:adjustRightInd w:val="0"/>
        <w:snapToGrid w:val="0"/>
        <w:spacing w:line="600" w:lineRule="exact"/>
        <w:jc w:val="left"/>
        <w:rPr>
          <w:rFonts w:ascii="仿宋_GB2312" w:eastAsia="仿宋_GB2312" w:hAnsiTheme="minorEastAsia"/>
          <w:color w:val="auto"/>
          <w:szCs w:val="21"/>
          <w:highlight w:val="none"/>
        </w:rPr>
      </w:pPr>
    </w:p>
    <w:p>
      <w:pPr>
        <w:adjustRightInd w:val="0"/>
        <w:snapToGrid w:val="0"/>
        <w:spacing w:line="600" w:lineRule="exact"/>
        <w:jc w:val="left"/>
        <w:rPr>
          <w:rFonts w:ascii="仿宋_GB2312" w:eastAsia="仿宋_GB2312" w:hAnsiTheme="minorEastAsia"/>
          <w:color w:val="auto"/>
          <w:szCs w:val="21"/>
          <w:highlight w:val="none"/>
        </w:rPr>
      </w:pPr>
    </w:p>
    <w:p>
      <w:pPr>
        <w:pStyle w:val="22"/>
        <w:ind w:left="0" w:leftChars="0" w:firstLine="0" w:firstLineChars="0"/>
        <w:rPr>
          <w:rFonts w:ascii="仿宋_GB2312" w:eastAsia="仿宋_GB2312" w:hAnsiTheme="minorEastAsia"/>
          <w:color w:val="auto"/>
          <w:szCs w:val="21"/>
          <w:highlight w:val="none"/>
        </w:rPr>
      </w:pPr>
    </w:p>
    <w:p>
      <w:pPr>
        <w:pStyle w:val="22"/>
        <w:rPr>
          <w:rFonts w:ascii="仿宋_GB2312" w:eastAsia="仿宋_GB2312" w:hAnsiTheme="minorEastAsia"/>
          <w:color w:val="auto"/>
          <w:szCs w:val="21"/>
          <w:highlight w:val="none"/>
        </w:rPr>
      </w:pPr>
    </w:p>
    <w:p>
      <w:pPr>
        <w:pStyle w:val="3"/>
        <w:rPr>
          <w:color w:val="auto"/>
          <w:highlight w:val="none"/>
        </w:rPr>
      </w:pPr>
      <w:bookmarkStart w:id="62" w:name="_Toc88209947"/>
      <w:r>
        <w:rPr>
          <w:color w:val="auto"/>
          <w:highlight w:val="none"/>
        </w:rPr>
        <w:pict>
          <v:shape id="_x0000_s2072" o:spid="_x0000_s2072" o:spt="32" type="#_x0000_t32" style="position:absolute;left:0pt;margin-left:184.3pt;margin-top:58.7pt;height:0pt;width:75.5pt;z-index:251677696;mso-width-relative:page;mso-height-relative:page;" o:connectortype="straight" filled="f" coordsize="21600,21600">
            <v:path arrowok="t"/>
            <v:fill on="f" focussize="0,0"/>
            <v:stroke/>
            <v:imagedata o:title=""/>
            <o:lock v:ext="edit"/>
          </v:shape>
        </w:pict>
      </w:r>
      <w:r>
        <w:rPr>
          <w:color w:val="auto"/>
          <w:highlight w:val="none"/>
        </w:rPr>
        <w:pict>
          <v:shape id="_x0000_s2073" o:spid="_x0000_s2073" o:spt="32" type="#_x0000_t32" style="position:absolute;left:0pt;margin-left:184.9pt;margin-top:8.5pt;height:0pt;width:75.5pt;z-index:251676672;mso-width-relative:page;mso-height-relative:page;" o:connectortype="straight" filled="f" coordsize="21600,21600">
            <v:path arrowok="t"/>
            <v:fill on="f" focussize="0,0"/>
            <v:stroke/>
            <v:imagedata o:title=""/>
            <o:lock v:ext="edit"/>
          </v:shape>
        </w:pict>
      </w:r>
      <w:r>
        <w:rPr>
          <w:rFonts w:hint="eastAsia"/>
          <w:color w:val="auto"/>
          <w:highlight w:val="none"/>
        </w:rPr>
        <w:t>第</w:t>
      </w:r>
      <w:r>
        <w:rPr>
          <w:rFonts w:hint="eastAsia"/>
          <w:color w:val="auto"/>
          <w:highlight w:val="none"/>
          <w:lang w:val="en-US" w:eastAsia="zh-CN"/>
        </w:rPr>
        <w:t>五</w:t>
      </w:r>
      <w:r>
        <w:rPr>
          <w:rFonts w:hint="eastAsia"/>
          <w:color w:val="auto"/>
          <w:highlight w:val="none"/>
        </w:rPr>
        <w:t>章</w:t>
      </w:r>
    </w:p>
    <w:p>
      <w:pPr>
        <w:pStyle w:val="4"/>
        <w:rPr>
          <w:rFonts w:hint="eastAsia"/>
          <w:color w:val="auto"/>
          <w:highlight w:val="none"/>
        </w:rPr>
      </w:pPr>
    </w:p>
    <w:p>
      <w:pPr>
        <w:pStyle w:val="4"/>
        <w:rPr>
          <w:rFonts w:hint="eastAsia"/>
          <w:color w:val="auto"/>
          <w:szCs w:val="44"/>
          <w:highlight w:val="none"/>
        </w:rPr>
      </w:pPr>
      <w:r>
        <w:rPr>
          <w:rFonts w:hint="eastAsia"/>
          <w:color w:val="auto"/>
          <w:szCs w:val="44"/>
          <w:highlight w:val="none"/>
        </w:rPr>
        <w:t>采购需求</w:t>
      </w:r>
    </w:p>
    <w:p>
      <w:pPr>
        <w:pStyle w:val="4"/>
        <w:rPr>
          <w:rFonts w:hint="eastAsia"/>
          <w:color w:val="auto"/>
          <w:szCs w:val="44"/>
          <w:highlight w:val="none"/>
        </w:rPr>
      </w:pPr>
    </w:p>
    <w:p>
      <w:pPr>
        <w:pStyle w:val="4"/>
        <w:rPr>
          <w:color w:val="auto"/>
          <w:szCs w:val="44"/>
          <w:highlight w:val="none"/>
        </w:rPr>
      </w:pPr>
      <w:r>
        <w:rPr>
          <w:rFonts w:hint="eastAsia"/>
          <w:color w:val="auto"/>
          <w:szCs w:val="44"/>
          <w:highlight w:val="none"/>
        </w:rPr>
        <w:t>采购需求编制说明</w:t>
      </w:r>
      <w:bookmarkEnd w:id="62"/>
    </w:p>
    <w:p>
      <w:pPr>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工程项目应提供图纸、技术标准和要求、工程量清单</w:t>
      </w:r>
    </w:p>
    <w:p>
      <w:pPr>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货物项目应尽可能清晰、准确地提出对货物的需求，并对所要求提供的货物名称、规格、数量以及单位、交货时间、交货地点、技术性能指标、检验考核要求、技术服务和售后服务要求、是否要求或允许对主要材料和关键部件进行外购等作出说明</w:t>
      </w:r>
    </w:p>
    <w:p>
      <w:pPr>
        <w:ind w:firstLine="560" w:firstLineChars="2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服务项目应明确服务采购需求和服务工作开展条件、服务成果要求（成果文件、周期、质量、配合技术服务要求等）等内容。</w:t>
      </w:r>
    </w:p>
    <w:p>
      <w:pPr>
        <w:ind w:firstLine="560" w:firstLineChars="200"/>
        <w:rPr>
          <w:rFonts w:hint="eastAsia" w:ascii="仿宋_GB2312" w:eastAsia="仿宋_GB2312"/>
          <w:color w:val="auto"/>
          <w:sz w:val="28"/>
          <w:szCs w:val="28"/>
          <w:highlight w:val="none"/>
        </w:rPr>
      </w:pPr>
    </w:p>
    <w:p>
      <w:pPr>
        <w:ind w:firstLine="560" w:firstLineChars="200"/>
        <w:rPr>
          <w:rFonts w:hint="eastAsia" w:ascii="仿宋_GB2312" w:eastAsia="仿宋_GB2312"/>
          <w:color w:val="auto"/>
          <w:sz w:val="28"/>
          <w:szCs w:val="28"/>
          <w:highlight w:val="none"/>
        </w:rPr>
      </w:pPr>
    </w:p>
    <w:p>
      <w:pPr>
        <w:rPr>
          <w:b/>
        </w:rPr>
      </w:pPr>
    </w:p>
    <w:p>
      <w:pPr>
        <w:numPr>
          <w:ilvl w:val="0"/>
          <w:numId w:val="0"/>
        </w:numPr>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一、项目总体情况介绍</w:t>
      </w:r>
    </w:p>
    <w:p>
      <w:pPr>
        <w:numPr>
          <w:ilvl w:val="0"/>
          <w:numId w:val="0"/>
        </w:numPr>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1.太平厂硫酸铝加药间目前只有三个加药桶，满仓为18吨，不能满足动态15天以上使用储存量。</w:t>
      </w:r>
    </w:p>
    <w:p>
      <w:pPr>
        <w:numPr>
          <w:ilvl w:val="0"/>
          <w:numId w:val="0"/>
        </w:numPr>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2.太平厂纳污范围包含大型工业区，在节假日期间进水浓度大幅下降，造成进水碳氮比不足，影响生产线稳定。</w:t>
      </w:r>
    </w:p>
    <w:p>
      <w:pPr>
        <w:numPr>
          <w:ilvl w:val="0"/>
          <w:numId w:val="0"/>
        </w:numPr>
        <w:ind w:firstLine="560" w:firstLineChars="200"/>
        <w:jc w:val="left"/>
        <w:rPr>
          <w:rFonts w:hint="default"/>
          <w:lang w:val="en-US"/>
        </w:rPr>
      </w:pPr>
      <w:r>
        <w:rPr>
          <w:rFonts w:hint="eastAsia" w:ascii="仿宋" w:hAnsi="仿宋" w:eastAsia="仿宋" w:cs="仿宋"/>
          <w:sz w:val="28"/>
          <w:szCs w:val="28"/>
          <w:lang w:val="en-US" w:eastAsia="zh-CN"/>
        </w:rPr>
        <w:t>鉴于上述情况，本项目拟在太平厂增加2个硫酸铝加药罐（6吨），增加后硫酸铝合计30吨存量，满足动态15天以上使用储存量。另外需要外加碳源保障生产线稳定运行，增加一个6吨储药罐用于存放碳源（乙酸钠），并配备加药泵及送药管道。</w:t>
      </w:r>
    </w:p>
    <w:p>
      <w:pPr>
        <w:numPr>
          <w:ilvl w:val="0"/>
          <w:numId w:val="0"/>
        </w:numPr>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二、项目实施内容</w:t>
      </w:r>
    </w:p>
    <w:p>
      <w:pPr>
        <w:numPr>
          <w:ilvl w:val="0"/>
          <w:numId w:val="0"/>
        </w:numPr>
        <w:tabs>
          <w:tab w:val="left" w:pos="3523"/>
        </w:tabs>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1.场地平整：在原有硫酸铝加药处前面空地选取一块7m*3.3m草地进行地面硬化，并捣制平台（厚25cm）。见下图：</w:t>
      </w:r>
    </w:p>
    <w:p>
      <w:pPr>
        <w:numPr>
          <w:ilvl w:val="0"/>
          <w:numId w:val="0"/>
        </w:numPr>
        <w:tabs>
          <w:tab w:val="left" w:pos="3523"/>
        </w:tabs>
        <w:ind w:left="220" w:leftChars="0"/>
        <w:jc w:val="center"/>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drawing>
          <wp:inline distT="0" distB="0" distL="114300" distR="114300">
            <wp:extent cx="4074160" cy="3054350"/>
            <wp:effectExtent l="0" t="0" r="2540" b="12700"/>
            <wp:docPr id="1" name="图片 1" descr="微信图片_20221009095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1009095015"/>
                    <pic:cNvPicPr>
                      <a:picLocks noChangeAspect="1"/>
                    </pic:cNvPicPr>
                  </pic:nvPicPr>
                  <pic:blipFill>
                    <a:blip r:embed="rId8"/>
                    <a:stretch>
                      <a:fillRect/>
                    </a:stretch>
                  </pic:blipFill>
                  <pic:spPr>
                    <a:xfrm>
                      <a:off x="0" y="0"/>
                      <a:ext cx="4074160" cy="3054350"/>
                    </a:xfrm>
                    <a:prstGeom prst="rect">
                      <a:avLst/>
                    </a:prstGeom>
                  </pic:spPr>
                </pic:pic>
              </a:graphicData>
            </a:graphic>
          </wp:inline>
        </w:drawing>
      </w:r>
    </w:p>
    <w:p>
      <w:pPr>
        <w:numPr>
          <w:ilvl w:val="0"/>
          <w:numId w:val="0"/>
        </w:numPr>
        <w:tabs>
          <w:tab w:val="left" w:pos="3523"/>
        </w:tabs>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2.在平台上安装2个6吨加药罐（优质PE材质，满足遮光和硫酸铝防腐要求，厚度不低于10mm），连通原有三个硫酸铝药罐并安装配套搅拌机，以满足该厂动态15天以上使用储存量。</w:t>
      </w:r>
    </w:p>
    <w:p>
      <w:pPr>
        <w:numPr>
          <w:ilvl w:val="0"/>
          <w:numId w:val="0"/>
        </w:numPr>
        <w:tabs>
          <w:tab w:val="left" w:pos="3523"/>
        </w:tabs>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3.安装一个6吨加药罐（优质PE材质，满足遮光和乙酸钠防腐要求，厚度不低于10mm），用于存放乙酸钠，并安装配套搅拌机、隔膜泵（JXM-A44/1.2)、变频器及配套电箱、加药管道等。</w:t>
      </w:r>
    </w:p>
    <w:p>
      <w:pPr>
        <w:numPr>
          <w:ilvl w:val="0"/>
          <w:numId w:val="0"/>
        </w:numPr>
        <w:tabs>
          <w:tab w:val="left" w:pos="3523"/>
        </w:tabs>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4.在平台上方用不锈钢支架、PC耐力板搭建遮雨棚（7.3m*3.5m*3.5m),连接原有遮雨棚</w:t>
      </w:r>
    </w:p>
    <w:p>
      <w:pPr>
        <w:numPr>
          <w:ilvl w:val="0"/>
          <w:numId w:val="0"/>
        </w:numPr>
        <w:tabs>
          <w:tab w:val="left" w:pos="3523"/>
        </w:tabs>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5.砌砖墙围堰，抹灰并油漆、管道连接至附近污水井。</w:t>
      </w:r>
    </w:p>
    <w:p>
      <w:pPr>
        <w:numPr>
          <w:ilvl w:val="0"/>
          <w:numId w:val="0"/>
        </w:numPr>
        <w:jc w:val="left"/>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三、主要工程量</w:t>
      </w:r>
    </w:p>
    <w:p>
      <w:pPr>
        <w:jc w:val="center"/>
      </w:pPr>
      <w:r>
        <w:rPr>
          <w:rFonts w:hint="eastAsia"/>
        </w:rPr>
        <w:t>主要工程量</w:t>
      </w:r>
    </w:p>
    <w:tbl>
      <w:tblPr>
        <w:tblStyle w:val="23"/>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50"/>
        <w:gridCol w:w="1498"/>
        <w:gridCol w:w="1244"/>
        <w:gridCol w:w="3647"/>
        <w:gridCol w:w="589"/>
        <w:gridCol w:w="10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479" w:type="pct"/>
            <w:vMerge w:val="restart"/>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844" w:type="pct"/>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项目编码</w:t>
            </w:r>
          </w:p>
        </w:tc>
        <w:tc>
          <w:tcPr>
            <w:tcW w:w="701" w:type="pct"/>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2055" w:type="pct"/>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项目特征描述</w:t>
            </w:r>
          </w:p>
        </w:tc>
        <w:tc>
          <w:tcPr>
            <w:tcW w:w="332" w:type="pct"/>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计量单位</w:t>
            </w:r>
          </w:p>
        </w:tc>
        <w:tc>
          <w:tcPr>
            <w:tcW w:w="586" w:type="pct"/>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479" w:type="pct"/>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4" w:type="pct"/>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1" w:type="pct"/>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55" w:type="pct"/>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32" w:type="pct"/>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86" w:type="pct"/>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479" w:type="pct"/>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4" w:type="pct"/>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1" w:type="pct"/>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55" w:type="pct"/>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32" w:type="pct"/>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86" w:type="pct"/>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5" w:hRule="atLeast"/>
        </w:trPr>
        <w:tc>
          <w:tcPr>
            <w:tcW w:w="479"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44"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050101006001</w:t>
            </w:r>
          </w:p>
        </w:tc>
        <w:tc>
          <w:tcPr>
            <w:tcW w:w="701"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清除草皮</w:t>
            </w:r>
          </w:p>
        </w:tc>
        <w:tc>
          <w:tcPr>
            <w:tcW w:w="205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1.铲草，清理草坪</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2.综合考虑:铲除方式及全部内容</w:t>
            </w:r>
          </w:p>
        </w:tc>
        <w:tc>
          <w:tcPr>
            <w:tcW w:w="33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58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479"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44"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010101001001</w:t>
            </w:r>
          </w:p>
        </w:tc>
        <w:tc>
          <w:tcPr>
            <w:tcW w:w="701"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平整场地</w:t>
            </w:r>
          </w:p>
        </w:tc>
        <w:tc>
          <w:tcPr>
            <w:tcW w:w="205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1.平整场地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2.综合考虑:平整方式及范围</w:t>
            </w:r>
          </w:p>
        </w:tc>
        <w:tc>
          <w:tcPr>
            <w:tcW w:w="33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58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479"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44"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010103001001</w:t>
            </w:r>
          </w:p>
        </w:tc>
        <w:tc>
          <w:tcPr>
            <w:tcW w:w="701"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回填方</w:t>
            </w:r>
          </w:p>
        </w:tc>
        <w:tc>
          <w:tcPr>
            <w:tcW w:w="205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1.回填砂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2.综合考虑:回填砂厚度</w:t>
            </w:r>
          </w:p>
        </w:tc>
        <w:tc>
          <w:tcPr>
            <w:tcW w:w="33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58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479"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44"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040303002001</w:t>
            </w:r>
          </w:p>
        </w:tc>
        <w:tc>
          <w:tcPr>
            <w:tcW w:w="701"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钢筋混凝土基础</w:t>
            </w:r>
          </w:p>
        </w:tc>
        <w:tc>
          <w:tcPr>
            <w:tcW w:w="205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1.混凝土强度等级:C30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2.钢筋规格:φ10mm</w:t>
            </w:r>
          </w:p>
        </w:tc>
        <w:tc>
          <w:tcPr>
            <w:tcW w:w="33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58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479"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44"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011702025001</w:t>
            </w:r>
          </w:p>
        </w:tc>
        <w:tc>
          <w:tcPr>
            <w:tcW w:w="701"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砖砌围墙</w:t>
            </w:r>
          </w:p>
        </w:tc>
        <w:tc>
          <w:tcPr>
            <w:tcW w:w="205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1.构件类型:围墙</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2.墙围厚度:35cm</w:t>
            </w:r>
          </w:p>
        </w:tc>
        <w:tc>
          <w:tcPr>
            <w:tcW w:w="33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58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479"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44"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060104013001</w:t>
            </w:r>
          </w:p>
        </w:tc>
        <w:tc>
          <w:tcPr>
            <w:tcW w:w="701"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水泥砂浆整体面层</w:t>
            </w:r>
          </w:p>
        </w:tc>
        <w:tc>
          <w:tcPr>
            <w:tcW w:w="205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1.水泥砂浆整体面层 20mm</w:t>
            </w:r>
          </w:p>
        </w:tc>
        <w:tc>
          <w:tcPr>
            <w:tcW w:w="33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58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479"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44"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031201005001</w:t>
            </w:r>
          </w:p>
        </w:tc>
        <w:tc>
          <w:tcPr>
            <w:tcW w:w="701"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围墙刷油</w:t>
            </w:r>
          </w:p>
        </w:tc>
        <w:tc>
          <w:tcPr>
            <w:tcW w:w="205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1.油漆品种:厚漆(黄色专业围墙油漆)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2.墙体抹灰:1遍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3.涂刷遍数:2遍</w:t>
            </w:r>
          </w:p>
        </w:tc>
        <w:tc>
          <w:tcPr>
            <w:tcW w:w="33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58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479"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44"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011303001001</w:t>
            </w:r>
          </w:p>
        </w:tc>
        <w:tc>
          <w:tcPr>
            <w:tcW w:w="701"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遮雨棚制作、安装</w:t>
            </w:r>
          </w:p>
        </w:tc>
        <w:tc>
          <w:tcPr>
            <w:tcW w:w="205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1.骨架类型:不锈钢骨架，规格尺寸综合考虑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2.面层材料品种、规格:5mm厚PC耐力板</w:t>
            </w:r>
          </w:p>
        </w:tc>
        <w:tc>
          <w:tcPr>
            <w:tcW w:w="33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58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35" w:hRule="atLeast"/>
        </w:trPr>
        <w:tc>
          <w:tcPr>
            <w:tcW w:w="479"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844"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030113023001</w:t>
            </w:r>
          </w:p>
        </w:tc>
        <w:tc>
          <w:tcPr>
            <w:tcW w:w="701"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药罐制作、安装、加固</w:t>
            </w:r>
          </w:p>
        </w:tc>
        <w:tc>
          <w:tcPr>
            <w:tcW w:w="205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1.药罐制作、安装、加固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2.材料做法:200mm的槽钢 40m(制作+安装），喷防腐漆进行加固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3.综合考虑全部内容</w:t>
            </w:r>
          </w:p>
        </w:tc>
        <w:tc>
          <w:tcPr>
            <w:tcW w:w="33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w:t>
            </w:r>
          </w:p>
        </w:tc>
        <w:tc>
          <w:tcPr>
            <w:tcW w:w="58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479"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44"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040602017001</w:t>
            </w:r>
          </w:p>
        </w:tc>
        <w:tc>
          <w:tcPr>
            <w:tcW w:w="701"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药桶搅拌机</w:t>
            </w:r>
          </w:p>
        </w:tc>
        <w:tc>
          <w:tcPr>
            <w:tcW w:w="205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1.类型:药桶搅拌机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2.材质:不锈钢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3.参数:功率=3kw；转速=1480Rr/min</w:t>
            </w:r>
          </w:p>
        </w:tc>
        <w:tc>
          <w:tcPr>
            <w:tcW w:w="33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479"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844"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030109006001</w:t>
            </w:r>
          </w:p>
        </w:tc>
        <w:tc>
          <w:tcPr>
            <w:tcW w:w="701"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隔膜泵安装</w:t>
            </w:r>
          </w:p>
        </w:tc>
        <w:tc>
          <w:tcPr>
            <w:tcW w:w="205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1.名称:隔膜泵 JXM-A44/1.2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2.型号:JXM-A44/1.2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3.规格:功率=1.5kw；转速=1480Rr/min</w:t>
            </w:r>
          </w:p>
        </w:tc>
        <w:tc>
          <w:tcPr>
            <w:tcW w:w="33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479"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844"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031003008001</w:t>
            </w:r>
          </w:p>
        </w:tc>
        <w:tc>
          <w:tcPr>
            <w:tcW w:w="701"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Y型过滤器</w:t>
            </w:r>
          </w:p>
        </w:tc>
        <w:tc>
          <w:tcPr>
            <w:tcW w:w="205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1.材质:PE</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2.规格、压力等级:外径25mm</w:t>
            </w:r>
          </w:p>
        </w:tc>
        <w:tc>
          <w:tcPr>
            <w:tcW w:w="33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c>
          <w:tcPr>
            <w:tcW w:w="58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479"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844"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030807005001</w:t>
            </w:r>
          </w:p>
        </w:tc>
        <w:tc>
          <w:tcPr>
            <w:tcW w:w="701"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低压安全阀门</w:t>
            </w:r>
          </w:p>
        </w:tc>
        <w:tc>
          <w:tcPr>
            <w:tcW w:w="205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1.材质:PE</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2.规格、压力等级:外径25mm</w:t>
            </w:r>
          </w:p>
        </w:tc>
        <w:tc>
          <w:tcPr>
            <w:tcW w:w="33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479"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844"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031003005001</w:t>
            </w:r>
          </w:p>
        </w:tc>
        <w:tc>
          <w:tcPr>
            <w:tcW w:w="701"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塑料阀门</w:t>
            </w:r>
          </w:p>
        </w:tc>
        <w:tc>
          <w:tcPr>
            <w:tcW w:w="205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塑料阀门 带活接阀门开关 DN40</w:t>
            </w:r>
          </w:p>
        </w:tc>
        <w:tc>
          <w:tcPr>
            <w:tcW w:w="33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479"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844"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030804014001</w:t>
            </w:r>
          </w:p>
        </w:tc>
        <w:tc>
          <w:tcPr>
            <w:tcW w:w="701"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低压塑料管件</w:t>
            </w:r>
          </w:p>
        </w:tc>
        <w:tc>
          <w:tcPr>
            <w:tcW w:w="205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1.材质:PVC</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2.规格:DN40</w:t>
            </w:r>
          </w:p>
        </w:tc>
        <w:tc>
          <w:tcPr>
            <w:tcW w:w="33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479"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844"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030801016001</w:t>
            </w:r>
          </w:p>
        </w:tc>
        <w:tc>
          <w:tcPr>
            <w:tcW w:w="701"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低压塑料管</w:t>
            </w:r>
          </w:p>
        </w:tc>
        <w:tc>
          <w:tcPr>
            <w:tcW w:w="205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1.材质:PVC</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2.规格:DN40</w:t>
            </w:r>
          </w:p>
        </w:tc>
        <w:tc>
          <w:tcPr>
            <w:tcW w:w="33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58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479"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844"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030801016002</w:t>
            </w:r>
          </w:p>
        </w:tc>
        <w:tc>
          <w:tcPr>
            <w:tcW w:w="701"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低压塑料管</w:t>
            </w:r>
          </w:p>
        </w:tc>
        <w:tc>
          <w:tcPr>
            <w:tcW w:w="205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1.材质:PVC</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2.规格:DN20</w:t>
            </w:r>
          </w:p>
        </w:tc>
        <w:tc>
          <w:tcPr>
            <w:tcW w:w="33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58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5" w:hRule="atLeast"/>
        </w:trPr>
        <w:tc>
          <w:tcPr>
            <w:tcW w:w="479"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844"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030404017001</w:t>
            </w:r>
          </w:p>
        </w:tc>
        <w:tc>
          <w:tcPr>
            <w:tcW w:w="701"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配电箱</w:t>
            </w:r>
          </w:p>
        </w:tc>
        <w:tc>
          <w:tcPr>
            <w:tcW w:w="205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1.名称:不锈钢电箱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2.规格:600*600*350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3.安装方式:悬挂式</w:t>
            </w:r>
          </w:p>
        </w:tc>
        <w:tc>
          <w:tcPr>
            <w:tcW w:w="33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479"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844"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030406008001</w:t>
            </w:r>
          </w:p>
        </w:tc>
        <w:tc>
          <w:tcPr>
            <w:tcW w:w="701"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变频器安装</w:t>
            </w:r>
          </w:p>
        </w:tc>
        <w:tc>
          <w:tcPr>
            <w:tcW w:w="205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1.名称:变频器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2.容量(kW):5KW</w:t>
            </w:r>
          </w:p>
        </w:tc>
        <w:tc>
          <w:tcPr>
            <w:tcW w:w="33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58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5" w:hRule="atLeast"/>
        </w:trPr>
        <w:tc>
          <w:tcPr>
            <w:tcW w:w="479"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844"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030408001001</w:t>
            </w:r>
          </w:p>
        </w:tc>
        <w:tc>
          <w:tcPr>
            <w:tcW w:w="701"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电力电缆</w:t>
            </w:r>
          </w:p>
        </w:tc>
        <w:tc>
          <w:tcPr>
            <w:tcW w:w="205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1.名称:电力电缆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2.型号:RVVP</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3.规格:5*6</w:t>
            </w:r>
          </w:p>
        </w:tc>
        <w:tc>
          <w:tcPr>
            <w:tcW w:w="33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58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5" w:hRule="atLeast"/>
        </w:trPr>
        <w:tc>
          <w:tcPr>
            <w:tcW w:w="479"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844"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080902006001</w:t>
            </w:r>
          </w:p>
        </w:tc>
        <w:tc>
          <w:tcPr>
            <w:tcW w:w="701"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液位计</w:t>
            </w:r>
          </w:p>
        </w:tc>
        <w:tc>
          <w:tcPr>
            <w:tcW w:w="205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1.名称:液位计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2.规格:2.5m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3.类型:玻璃管直读液位计</w:t>
            </w:r>
          </w:p>
        </w:tc>
        <w:tc>
          <w:tcPr>
            <w:tcW w:w="332"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58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bl>
    <w:p>
      <w:pPr>
        <w:pStyle w:val="22"/>
        <w:rPr>
          <w:rFonts w:hint="eastAsia" w:ascii="仿宋_GB2312" w:eastAsia="仿宋_GB2312"/>
          <w:color w:val="auto"/>
          <w:sz w:val="28"/>
          <w:szCs w:val="28"/>
          <w:highlight w:val="none"/>
          <w:lang w:val="en-US" w:eastAsia="zh-CN"/>
        </w:rPr>
      </w:pPr>
    </w:p>
    <w:p>
      <w:pPr>
        <w:pStyle w:val="22"/>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四、技术要求</w:t>
      </w:r>
    </w:p>
    <w:p>
      <w:pPr>
        <w:pStyle w:val="22"/>
        <w:ind w:left="0" w:leftChars="0" w:firstLine="560" w:firstLineChars="200"/>
        <w:rPr>
          <w:rFonts w:hint="eastAsia" w:ascii="仿宋_GB2312" w:hAnsi="宋体" w:eastAsia="仿宋_GB2312" w:cs="宋体"/>
          <w:bCs/>
          <w:color w:val="auto"/>
          <w:kern w:val="0"/>
          <w:sz w:val="28"/>
          <w:szCs w:val="28"/>
          <w:highlight w:val="none"/>
        </w:rPr>
      </w:pPr>
      <w:r>
        <w:rPr>
          <w:rFonts w:hint="eastAsia" w:ascii="仿宋_GB2312" w:hAnsi="宋体" w:eastAsia="仿宋_GB2312" w:cs="宋体"/>
          <w:bCs/>
          <w:color w:val="auto"/>
          <w:kern w:val="0"/>
          <w:sz w:val="28"/>
          <w:szCs w:val="28"/>
          <w:highlight w:val="none"/>
          <w:lang w:val="en-US" w:eastAsia="zh-CN"/>
        </w:rPr>
        <w:t>1.</w:t>
      </w:r>
      <w:r>
        <w:rPr>
          <w:rFonts w:hint="eastAsia" w:ascii="仿宋_GB2312" w:hAnsi="宋体" w:eastAsia="仿宋_GB2312" w:cs="宋体"/>
          <w:bCs/>
          <w:color w:val="auto"/>
          <w:kern w:val="0"/>
          <w:sz w:val="28"/>
          <w:szCs w:val="28"/>
          <w:highlight w:val="none"/>
        </w:rPr>
        <w:t>施工期间遇到任何问题，承包单位应积极、及时反映反馈至</w:t>
      </w:r>
      <w:r>
        <w:rPr>
          <w:rFonts w:hint="eastAsia" w:ascii="仿宋_GB2312" w:hAnsi="宋体" w:eastAsia="仿宋_GB2312" w:cs="宋体"/>
          <w:bCs/>
          <w:color w:val="auto"/>
          <w:kern w:val="0"/>
          <w:sz w:val="28"/>
          <w:szCs w:val="28"/>
          <w:highlight w:val="none"/>
          <w:lang w:val="en-US" w:eastAsia="zh-CN"/>
        </w:rPr>
        <w:t>我公司项目负责人及监理</w:t>
      </w:r>
      <w:r>
        <w:rPr>
          <w:rFonts w:hint="eastAsia" w:ascii="仿宋_GB2312" w:hAnsi="宋体" w:eastAsia="仿宋_GB2312" w:cs="宋体"/>
          <w:bCs/>
          <w:color w:val="auto"/>
          <w:kern w:val="0"/>
          <w:sz w:val="28"/>
          <w:szCs w:val="28"/>
          <w:highlight w:val="none"/>
        </w:rPr>
        <w:t>。双方协商解决。承包单位禁止盲目施工，禁止擅自触碰甚至改动厂区内设备设施。一经发现，承包单位必须按原样恢复，产生任何费用全部由承包单位承担，若因此影响对厂区正常运营，本公司保留追究承包单位的赔偿及法律责任。</w:t>
      </w:r>
    </w:p>
    <w:p>
      <w:pPr>
        <w:pStyle w:val="22"/>
        <w:rPr>
          <w:rFonts w:hint="eastAsia" w:ascii="仿宋_GB2312" w:hAnsi="宋体" w:eastAsia="仿宋_GB2312" w:cs="宋体"/>
          <w:bCs/>
          <w:color w:val="auto"/>
          <w:kern w:val="0"/>
          <w:sz w:val="28"/>
          <w:szCs w:val="28"/>
          <w:highlight w:val="none"/>
        </w:rPr>
      </w:pPr>
      <w:r>
        <w:rPr>
          <w:rFonts w:hint="eastAsia" w:ascii="仿宋_GB2312" w:hAnsi="宋体" w:eastAsia="仿宋_GB2312" w:cs="宋体"/>
          <w:bCs/>
          <w:color w:val="auto"/>
          <w:kern w:val="0"/>
          <w:sz w:val="28"/>
          <w:szCs w:val="28"/>
          <w:highlight w:val="none"/>
          <w:lang w:val="en-US" w:eastAsia="zh-CN"/>
        </w:rPr>
        <w:t>2.</w:t>
      </w:r>
      <w:r>
        <w:rPr>
          <w:rFonts w:hint="eastAsia" w:ascii="仿宋_GB2312" w:hAnsi="宋体" w:eastAsia="仿宋_GB2312" w:cs="宋体"/>
          <w:bCs/>
          <w:color w:val="auto"/>
          <w:kern w:val="0"/>
          <w:sz w:val="28"/>
          <w:szCs w:val="28"/>
          <w:highlight w:val="none"/>
        </w:rPr>
        <w:t>技术资料要求</w:t>
      </w:r>
    </w:p>
    <w:p>
      <w:pPr>
        <w:pStyle w:val="22"/>
        <w:rPr>
          <w:rFonts w:hint="eastAsia" w:ascii="仿宋_GB2312" w:hAnsi="宋体" w:eastAsia="仿宋_GB2312" w:cs="宋体"/>
          <w:bCs/>
          <w:color w:val="auto"/>
          <w:kern w:val="0"/>
          <w:sz w:val="28"/>
          <w:szCs w:val="28"/>
          <w:highlight w:val="none"/>
        </w:rPr>
      </w:pPr>
      <w:r>
        <w:rPr>
          <w:rFonts w:hint="eastAsia" w:ascii="仿宋_GB2312" w:hAnsi="宋体" w:eastAsia="仿宋_GB2312" w:cs="宋体"/>
          <w:bCs/>
          <w:color w:val="auto"/>
          <w:kern w:val="0"/>
          <w:sz w:val="28"/>
          <w:szCs w:val="28"/>
          <w:highlight w:val="none"/>
        </w:rPr>
        <w:t>本项目开展期间，承包</w:t>
      </w:r>
      <w:r>
        <w:rPr>
          <w:rFonts w:hint="eastAsia" w:ascii="仿宋_GB2312" w:hAnsi="宋体" w:eastAsia="仿宋_GB2312" w:cs="宋体"/>
          <w:bCs/>
          <w:color w:val="auto"/>
          <w:kern w:val="0"/>
          <w:sz w:val="28"/>
          <w:szCs w:val="28"/>
          <w:highlight w:val="none"/>
          <w:lang w:val="en-US" w:eastAsia="zh-CN"/>
        </w:rPr>
        <w:t>单位</w:t>
      </w:r>
      <w:r>
        <w:rPr>
          <w:rFonts w:hint="eastAsia" w:ascii="仿宋_GB2312" w:hAnsi="宋体" w:eastAsia="仿宋_GB2312" w:cs="宋体"/>
          <w:bCs/>
          <w:color w:val="auto"/>
          <w:kern w:val="0"/>
          <w:sz w:val="28"/>
          <w:szCs w:val="28"/>
          <w:highlight w:val="none"/>
        </w:rPr>
        <w:t>必须整理好本项目的所有的技术资料，不限于项目施工图、竣工图、设备技术说明书等。项目竣工后，承包</w:t>
      </w:r>
      <w:r>
        <w:rPr>
          <w:rFonts w:hint="eastAsia" w:ascii="仿宋_GB2312" w:hAnsi="宋体" w:eastAsia="仿宋_GB2312" w:cs="宋体"/>
          <w:bCs/>
          <w:color w:val="auto"/>
          <w:kern w:val="0"/>
          <w:sz w:val="28"/>
          <w:szCs w:val="28"/>
          <w:highlight w:val="none"/>
          <w:lang w:val="en-US" w:eastAsia="zh-CN"/>
        </w:rPr>
        <w:t>单位</w:t>
      </w:r>
      <w:r>
        <w:rPr>
          <w:rFonts w:hint="eastAsia" w:ascii="仿宋_GB2312" w:hAnsi="宋体" w:eastAsia="仿宋_GB2312" w:cs="宋体"/>
          <w:bCs/>
          <w:color w:val="auto"/>
          <w:kern w:val="0"/>
          <w:sz w:val="28"/>
          <w:szCs w:val="28"/>
          <w:highlight w:val="none"/>
        </w:rPr>
        <w:t>将所有关于本项目的技术资料整理好并交至项目承办单位。</w:t>
      </w:r>
    </w:p>
    <w:p>
      <w:pPr>
        <w:pStyle w:val="12"/>
        <w:adjustRightInd w:val="0"/>
        <w:snapToGrid w:val="0"/>
        <w:spacing w:line="300" w:lineRule="auto"/>
        <w:rPr>
          <w:rFonts w:hint="eastAsia" w:ascii="仿宋_GB2312" w:hAnsi="仿宋_GB2312" w:eastAsia="仿宋_GB2312" w:cs="仿宋_GB2312"/>
          <w:b/>
          <w:sz w:val="28"/>
          <w:szCs w:val="28"/>
          <w:lang w:val="zh-CN"/>
        </w:rPr>
      </w:pPr>
      <w:r>
        <w:rPr>
          <w:rFonts w:hint="eastAsia" w:ascii="仿宋_GB2312" w:hAnsi="仿宋_GB2312" w:eastAsia="仿宋_GB2312" w:cs="仿宋_GB2312"/>
          <w:b/>
          <w:sz w:val="28"/>
          <w:szCs w:val="28"/>
        </w:rPr>
        <w:t>三</w:t>
      </w:r>
      <w:r>
        <w:rPr>
          <w:rFonts w:hint="eastAsia" w:ascii="仿宋_GB2312" w:hAnsi="仿宋_GB2312" w:eastAsia="仿宋_GB2312" w:cs="仿宋_GB2312"/>
          <w:b/>
          <w:sz w:val="28"/>
          <w:szCs w:val="28"/>
          <w:lang w:val="zh-CN"/>
        </w:rPr>
        <w:t>、项目商务要求</w:t>
      </w:r>
    </w:p>
    <w:p>
      <w:pPr>
        <w:autoSpaceDE w:val="0"/>
        <w:autoSpaceDN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计划</w:t>
      </w:r>
      <w:r>
        <w:rPr>
          <w:rFonts w:hint="eastAsia" w:ascii="仿宋_GB2312" w:hAnsi="仿宋_GB2312" w:eastAsia="仿宋_GB2312" w:cs="仿宋_GB2312"/>
          <w:sz w:val="28"/>
          <w:szCs w:val="28"/>
        </w:rPr>
        <w:t>工期：</w:t>
      </w:r>
    </w:p>
    <w:p>
      <w:pPr>
        <w:autoSpaceDE w:val="0"/>
        <w:autoSpaceDN w:val="0"/>
        <w:spacing w:line="360" w:lineRule="auto"/>
        <w:ind w:left="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计划</w:t>
      </w:r>
      <w:r>
        <w:rPr>
          <w:rFonts w:hint="eastAsia" w:ascii="仿宋_GB2312" w:hAnsi="仿宋_GB2312" w:eastAsia="仿宋_GB2312" w:cs="仿宋_GB2312"/>
          <w:sz w:val="28"/>
          <w:szCs w:val="28"/>
        </w:rPr>
        <w:t>工期：</w:t>
      </w:r>
      <w:r>
        <w:rPr>
          <w:rFonts w:hint="eastAsia" w:ascii="仿宋_GB2312" w:hAnsi="仿宋_GB2312" w:eastAsia="仿宋_GB2312" w:cs="仿宋_GB2312"/>
          <w:sz w:val="28"/>
          <w:szCs w:val="28"/>
          <w:u w:val="single"/>
          <w:lang w:val="en-US" w:eastAsia="zh-CN"/>
        </w:rPr>
        <w:t>15天</w:t>
      </w:r>
      <w:r>
        <w:rPr>
          <w:rFonts w:hint="eastAsia" w:ascii="仿宋_GB2312" w:hAnsi="仿宋_GB2312" w:eastAsia="仿宋_GB2312" w:cs="仿宋_GB2312"/>
          <w:sz w:val="28"/>
          <w:szCs w:val="28"/>
          <w:u w:val="single"/>
        </w:rPr>
        <w:t>，具体开工时间以开工报告时间为准。</w:t>
      </w:r>
    </w:p>
    <w:p>
      <w:pPr>
        <w:numPr>
          <w:ilvl w:val="0"/>
          <w:numId w:val="0"/>
        </w:numPr>
        <w:autoSpaceDE w:val="0"/>
        <w:autoSpaceDN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安全文明施工要求：</w:t>
      </w:r>
    </w:p>
    <w:p>
      <w:pPr>
        <w:numPr>
          <w:ilvl w:val="0"/>
          <w:numId w:val="0"/>
        </w:numPr>
        <w:autoSpaceDE w:val="0"/>
        <w:autoSpaceDN w:val="0"/>
        <w:spacing w:line="360" w:lineRule="auto"/>
        <w:ind w:leftChars="-20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在工程进行中，承包单位要注意保护场内的各种管线和设施。若有任何损坏，须立即通知有关部门和发包人，并由损坏单位承担损失和修复费用。</w:t>
      </w:r>
    </w:p>
    <w:p>
      <w:pPr>
        <w:numPr>
          <w:ilvl w:val="0"/>
          <w:numId w:val="0"/>
        </w:numPr>
        <w:autoSpaceDE w:val="0"/>
        <w:autoSpaceDN w:val="0"/>
        <w:spacing w:line="360" w:lineRule="auto"/>
        <w:ind w:leftChars="-20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发生重大伤亡及其他安全事故，承包单位应按有关规定立即上报有关部门并通知发包人，同时按政府有关部门要求处理，由事故责任方承担发生的费用。发包人、承包单位对事故责任有争议时，应按政府有关部门的认定处理。</w:t>
      </w:r>
    </w:p>
    <w:p>
      <w:pPr>
        <w:numPr>
          <w:ilvl w:val="0"/>
          <w:numId w:val="0"/>
        </w:numPr>
        <w:autoSpaceDE w:val="0"/>
        <w:autoSpaceDN w:val="0"/>
        <w:spacing w:line="360" w:lineRule="auto"/>
        <w:ind w:leftChars="-20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承包单位在施工期间应严格遵守《中华人民共和国安全生产法》（国家主席70号令）、《建设工程安全生产管理条例》（中华人民共和国国务院令第393号）以及文明施工、深夜施工、环卫和城管等规定，建立规章制度和防护措施。若违反以上规定，由此造成的经济和法律责任，均由承包单位负责。</w:t>
      </w:r>
    </w:p>
    <w:p>
      <w:pPr>
        <w:numPr>
          <w:ilvl w:val="0"/>
          <w:numId w:val="0"/>
        </w:numPr>
        <w:autoSpaceDE w:val="0"/>
        <w:autoSpaceDN w:val="0"/>
        <w:spacing w:line="360" w:lineRule="auto"/>
        <w:ind w:leftChars="-20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.总包及分包规定：</w:t>
      </w:r>
    </w:p>
    <w:p>
      <w:pPr>
        <w:numPr>
          <w:ilvl w:val="0"/>
          <w:numId w:val="0"/>
        </w:numPr>
        <w:autoSpaceDE w:val="0"/>
        <w:autoSpaceDN w:val="0"/>
        <w:spacing w:line="360" w:lineRule="auto"/>
        <w:ind w:leftChars="-20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承包单位不许转包，不许擅自分包,</w:t>
      </w:r>
      <w:r>
        <w:rPr>
          <w:rFonts w:hint="eastAsia" w:ascii="宋体" w:hAnsi="宋体"/>
          <w:bCs/>
          <w:szCs w:val="21"/>
        </w:rPr>
        <w:t xml:space="preserve"> </w:t>
      </w:r>
      <w:r>
        <w:rPr>
          <w:rFonts w:hint="eastAsia" w:ascii="仿宋_GB2312" w:hAnsi="仿宋_GB2312" w:eastAsia="仿宋_GB2312" w:cs="仿宋_GB2312"/>
          <w:sz w:val="28"/>
          <w:szCs w:val="28"/>
        </w:rPr>
        <w:t>否则，发包人有权单方面终止合同，并令其立即退场，由此而造成的经济损失由承包单位负责赔偿。</w:t>
      </w:r>
    </w:p>
    <w:p>
      <w:pPr>
        <w:pStyle w:val="22"/>
        <w:rPr>
          <w:rFonts w:hint="eastAsia" w:ascii="仿宋_GB2312" w:hAnsi="宋体" w:eastAsia="仿宋_GB2312" w:cs="宋体"/>
          <w:bCs/>
          <w:color w:val="auto"/>
          <w:kern w:val="0"/>
          <w:sz w:val="28"/>
          <w:szCs w:val="28"/>
          <w:highlight w:val="none"/>
        </w:rPr>
      </w:pPr>
    </w:p>
    <w:p>
      <w:pPr>
        <w:pStyle w:val="22"/>
        <w:rPr>
          <w:rFonts w:hint="eastAsia" w:ascii="仿宋_GB2312" w:hAnsi="宋体" w:eastAsia="仿宋_GB2312" w:cs="宋体"/>
          <w:bCs/>
          <w:color w:val="auto"/>
          <w:kern w:val="0"/>
          <w:sz w:val="28"/>
          <w:szCs w:val="28"/>
          <w:highlight w:val="none"/>
        </w:rPr>
      </w:pPr>
    </w:p>
    <w:p>
      <w:pPr>
        <w:ind w:firstLine="560" w:firstLineChars="200"/>
        <w:rPr>
          <w:rFonts w:hint="eastAsia" w:ascii="仿宋_GB2312" w:eastAsia="仿宋_GB2312"/>
          <w:color w:val="auto"/>
          <w:sz w:val="28"/>
          <w:szCs w:val="28"/>
          <w:highlight w:val="none"/>
          <w:lang w:val="en-US" w:eastAsia="zh-CN"/>
        </w:rPr>
      </w:pPr>
    </w:p>
    <w:p>
      <w:pPr>
        <w:pStyle w:val="22"/>
        <w:rPr>
          <w:rFonts w:ascii="仿宋_GB2312" w:eastAsia="仿宋_GB2312" w:hAnsiTheme="minorEastAsia"/>
          <w:color w:val="auto"/>
          <w:szCs w:val="21"/>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22"/>
        <w:rPr>
          <w:rFonts w:ascii="仿宋_GB2312" w:eastAsia="仿宋_GB2312"/>
          <w:color w:val="auto"/>
          <w:sz w:val="28"/>
          <w:szCs w:val="28"/>
          <w:highlight w:val="none"/>
        </w:rPr>
      </w:pPr>
    </w:p>
    <w:p>
      <w:pPr>
        <w:pStyle w:val="22"/>
        <w:rPr>
          <w:rFonts w:ascii="仿宋_GB2312" w:eastAsia="仿宋_GB2312"/>
          <w:color w:val="auto"/>
          <w:sz w:val="28"/>
          <w:szCs w:val="28"/>
          <w:highlight w:val="none"/>
        </w:rPr>
      </w:pPr>
    </w:p>
    <w:p>
      <w:pPr>
        <w:pStyle w:val="22"/>
        <w:rPr>
          <w:color w:val="auto"/>
          <w:highlight w:val="none"/>
        </w:rPr>
      </w:pPr>
    </w:p>
    <w:p>
      <w:pPr>
        <w:pStyle w:val="22"/>
        <w:rPr>
          <w:color w:val="auto"/>
          <w:highlight w:val="none"/>
        </w:rPr>
      </w:pPr>
    </w:p>
    <w:p>
      <w:pPr>
        <w:pStyle w:val="22"/>
        <w:rPr>
          <w:color w:val="auto"/>
          <w:highlight w:val="none"/>
        </w:rPr>
      </w:pPr>
    </w:p>
    <w:p>
      <w:pPr>
        <w:pStyle w:val="22"/>
        <w:rPr>
          <w:color w:val="auto"/>
          <w:highlight w:val="none"/>
        </w:rPr>
      </w:pPr>
    </w:p>
    <w:p>
      <w:pPr>
        <w:pStyle w:val="22"/>
        <w:rPr>
          <w:color w:val="auto"/>
          <w:highlight w:val="none"/>
        </w:rPr>
      </w:pPr>
    </w:p>
    <w:p>
      <w:pPr>
        <w:pStyle w:val="22"/>
        <w:rPr>
          <w:color w:val="auto"/>
          <w:highlight w:val="none"/>
        </w:rPr>
      </w:pPr>
    </w:p>
    <w:p>
      <w:pPr>
        <w:pStyle w:val="22"/>
        <w:rPr>
          <w:color w:val="auto"/>
          <w:highlight w:val="none"/>
        </w:rPr>
      </w:pPr>
    </w:p>
    <w:p>
      <w:pPr>
        <w:pStyle w:val="22"/>
        <w:rPr>
          <w:color w:val="auto"/>
          <w:highlight w:val="none"/>
        </w:rPr>
      </w:pPr>
    </w:p>
    <w:p>
      <w:pPr>
        <w:pStyle w:val="22"/>
        <w:rPr>
          <w:color w:val="auto"/>
          <w:highlight w:val="none"/>
        </w:rPr>
      </w:pPr>
    </w:p>
    <w:p>
      <w:pPr>
        <w:pStyle w:val="22"/>
        <w:rPr>
          <w:color w:val="auto"/>
          <w:highlight w:val="none"/>
        </w:rPr>
      </w:pPr>
    </w:p>
    <w:p>
      <w:pPr>
        <w:pStyle w:val="22"/>
        <w:rPr>
          <w:color w:val="auto"/>
          <w:highlight w:val="none"/>
        </w:rPr>
      </w:pPr>
    </w:p>
    <w:p>
      <w:pPr>
        <w:pStyle w:val="22"/>
        <w:rPr>
          <w:color w:val="auto"/>
          <w:highlight w:val="none"/>
        </w:rPr>
      </w:pPr>
    </w:p>
    <w:p>
      <w:pPr>
        <w:pStyle w:val="3"/>
        <w:rPr>
          <w:color w:val="auto"/>
          <w:highlight w:val="none"/>
        </w:rPr>
      </w:pPr>
      <w:bookmarkStart w:id="63" w:name="_Toc537"/>
      <w:bookmarkStart w:id="64" w:name="_Toc29835"/>
      <w:bookmarkStart w:id="65" w:name="_Toc15570"/>
      <w:bookmarkStart w:id="66" w:name="_Toc12135"/>
      <w:bookmarkStart w:id="67" w:name="_Toc1284"/>
      <w:bookmarkStart w:id="68" w:name="_Toc23330"/>
      <w:bookmarkStart w:id="69" w:name="_Toc25925"/>
      <w:bookmarkStart w:id="70" w:name="_Toc23353"/>
      <w:bookmarkStart w:id="71" w:name="_Toc1496"/>
      <w:bookmarkStart w:id="72" w:name="_Toc4680"/>
      <w:bookmarkStart w:id="73" w:name="_Toc18538"/>
      <w:r>
        <w:rPr>
          <w:color w:val="auto"/>
          <w:highlight w:val="none"/>
        </w:rPr>
        <w:pict>
          <v:shape id="_x0000_s2057" o:spid="_x0000_s2057" o:spt="32" type="#_x0000_t32" style="position:absolute;left:0pt;margin-left:181.6pt;margin-top:56.7pt;height:0pt;width:75.5pt;z-index:251667456;mso-width-relative:page;mso-height-relative:page;" o:connectortype="straight" filled="f" coordsize="21600,21600">
            <v:path arrowok="t"/>
            <v:fill on="f" focussize="0,0"/>
            <v:stroke/>
            <v:imagedata o:title=""/>
            <o:lock v:ext="edit"/>
          </v:shape>
        </w:pict>
      </w:r>
      <w:r>
        <w:rPr>
          <w:color w:val="auto"/>
          <w:highlight w:val="none"/>
        </w:rPr>
        <w:pict>
          <v:shape id="_x0000_s2056" o:spid="_x0000_s2056" o:spt="32" type="#_x0000_t32" style="position:absolute;left:0pt;margin-left:183.1pt;margin-top:21.3pt;height:0pt;width:75.5pt;z-index:251666432;mso-width-relative:page;mso-height-relative:page;" o:connectortype="straight" filled="f" coordsize="21600,21600">
            <v:path arrowok="t"/>
            <v:fill on="f" focussize="0,0"/>
            <v:stroke/>
            <v:imagedata o:title=""/>
            <o:lock v:ext="edit"/>
          </v:shape>
        </w:pict>
      </w:r>
      <w:r>
        <w:rPr>
          <w:rFonts w:hint="eastAsia"/>
          <w:color w:val="auto"/>
          <w:highlight w:val="none"/>
        </w:rPr>
        <w:t>第六章</w:t>
      </w:r>
      <w:bookmarkEnd w:id="63"/>
      <w:bookmarkEnd w:id="64"/>
      <w:bookmarkEnd w:id="65"/>
      <w:bookmarkEnd w:id="66"/>
      <w:bookmarkEnd w:id="67"/>
      <w:bookmarkEnd w:id="68"/>
      <w:bookmarkEnd w:id="69"/>
      <w:bookmarkEnd w:id="70"/>
      <w:bookmarkEnd w:id="71"/>
      <w:bookmarkEnd w:id="72"/>
      <w:bookmarkEnd w:id="73"/>
    </w:p>
    <w:p>
      <w:pPr>
        <w:pStyle w:val="36"/>
        <w:rPr>
          <w:color w:val="auto"/>
          <w:highlight w:val="none"/>
        </w:rPr>
      </w:pPr>
    </w:p>
    <w:p>
      <w:pPr>
        <w:pStyle w:val="3"/>
        <w:rPr>
          <w:color w:val="auto"/>
          <w:highlight w:val="none"/>
        </w:rPr>
      </w:pPr>
      <w:bookmarkStart w:id="74" w:name="_Toc19686"/>
      <w:bookmarkStart w:id="75" w:name="_Toc323"/>
      <w:bookmarkStart w:id="76" w:name="_Toc1375"/>
      <w:bookmarkStart w:id="77" w:name="_Toc87616386"/>
      <w:bookmarkStart w:id="78" w:name="_Toc13309"/>
      <w:bookmarkStart w:id="79" w:name="_Toc88209949"/>
      <w:bookmarkStart w:id="80" w:name="_Toc8183"/>
      <w:bookmarkStart w:id="81" w:name="_Toc12721"/>
      <w:bookmarkStart w:id="82" w:name="_Toc22797"/>
      <w:bookmarkStart w:id="83" w:name="_Toc19088"/>
      <w:bookmarkStart w:id="84" w:name="_Toc12980"/>
      <w:bookmarkStart w:id="85" w:name="_Toc12968"/>
      <w:bookmarkStart w:id="86" w:name="_Toc22501"/>
      <w:r>
        <w:rPr>
          <w:rFonts w:hint="eastAsia"/>
          <w:color w:val="auto"/>
          <w:highlight w:val="none"/>
        </w:rPr>
        <w:t>合同</w:t>
      </w:r>
      <w:bookmarkEnd w:id="74"/>
      <w:bookmarkEnd w:id="75"/>
      <w:bookmarkEnd w:id="76"/>
      <w:bookmarkEnd w:id="77"/>
      <w:bookmarkEnd w:id="78"/>
      <w:bookmarkEnd w:id="79"/>
      <w:bookmarkEnd w:id="80"/>
      <w:bookmarkEnd w:id="81"/>
      <w:bookmarkEnd w:id="82"/>
      <w:bookmarkEnd w:id="83"/>
      <w:bookmarkEnd w:id="84"/>
      <w:bookmarkEnd w:id="85"/>
      <w:bookmarkEnd w:id="86"/>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spacing w:line="400" w:lineRule="atLeast"/>
        <w:rPr>
          <w:rFonts w:eastAsia="仿宋_GB2312" w:cs="仿宋_GB2312" w:asciiTheme="majorHAnsi" w:hAnsiTheme="majorHAnsi"/>
          <w:sz w:val="52"/>
          <w:szCs w:val="52"/>
        </w:rPr>
      </w:pPr>
    </w:p>
    <w:p>
      <w:pPr>
        <w:spacing w:line="400" w:lineRule="atLeast"/>
        <w:jc w:val="center"/>
        <w:rPr>
          <w:rFonts w:hint="eastAsia" w:ascii="宋体" w:hAnsi="宋体" w:cs="宋体"/>
          <w:b/>
          <w:bCs/>
          <w:sz w:val="48"/>
          <w:szCs w:val="48"/>
          <w:lang w:eastAsia="zh-CN"/>
        </w:rPr>
      </w:pPr>
    </w:p>
    <w:p>
      <w:pPr>
        <w:spacing w:line="400" w:lineRule="atLeast"/>
        <w:jc w:val="center"/>
        <w:rPr>
          <w:rFonts w:hint="eastAsia" w:ascii="宋体" w:hAnsi="宋体" w:cs="宋体"/>
          <w:b/>
          <w:bCs/>
          <w:sz w:val="48"/>
          <w:szCs w:val="48"/>
          <w:lang w:eastAsia="zh-CN"/>
        </w:rPr>
      </w:pPr>
    </w:p>
    <w:p>
      <w:pPr>
        <w:spacing w:line="400" w:lineRule="atLeast"/>
        <w:jc w:val="center"/>
        <w:rPr>
          <w:rFonts w:hint="eastAsia" w:ascii="宋体" w:hAnsi="宋体" w:cs="宋体"/>
          <w:b/>
          <w:bCs/>
          <w:sz w:val="48"/>
          <w:szCs w:val="48"/>
          <w:lang w:eastAsia="zh-CN"/>
        </w:rPr>
      </w:pPr>
    </w:p>
    <w:p>
      <w:pPr>
        <w:spacing w:line="400" w:lineRule="atLeast"/>
        <w:jc w:val="center"/>
        <w:rPr>
          <w:rFonts w:hint="eastAsia" w:ascii="宋体" w:hAnsi="宋体" w:cs="宋体"/>
          <w:b/>
          <w:bCs/>
          <w:sz w:val="48"/>
          <w:szCs w:val="48"/>
          <w:lang w:eastAsia="zh-CN"/>
        </w:rPr>
      </w:pPr>
    </w:p>
    <w:p>
      <w:pPr>
        <w:spacing w:line="400" w:lineRule="atLeast"/>
        <w:jc w:val="center"/>
        <w:rPr>
          <w:rFonts w:hint="eastAsia" w:ascii="宋体" w:hAnsi="宋体" w:cs="宋体"/>
          <w:b/>
          <w:bCs/>
          <w:sz w:val="48"/>
          <w:szCs w:val="48"/>
          <w:lang w:eastAsia="zh-CN"/>
        </w:rPr>
      </w:pPr>
    </w:p>
    <w:p>
      <w:pPr>
        <w:spacing w:line="400" w:lineRule="atLeast"/>
        <w:jc w:val="center"/>
        <w:rPr>
          <w:rFonts w:hint="eastAsia" w:ascii="宋体" w:hAnsi="宋体" w:cs="宋体"/>
          <w:b/>
          <w:bCs/>
          <w:sz w:val="48"/>
          <w:szCs w:val="48"/>
          <w:lang w:eastAsia="zh-CN"/>
        </w:rPr>
      </w:pPr>
    </w:p>
    <w:p>
      <w:pPr>
        <w:spacing w:line="400" w:lineRule="atLeast"/>
        <w:jc w:val="both"/>
        <w:rPr>
          <w:rFonts w:hint="eastAsia" w:ascii="宋体" w:hAnsi="宋体" w:cs="宋体"/>
          <w:b/>
          <w:bCs/>
          <w:sz w:val="48"/>
          <w:szCs w:val="48"/>
          <w:lang w:eastAsia="zh-CN"/>
        </w:rPr>
      </w:pPr>
    </w:p>
    <w:p>
      <w:pPr>
        <w:spacing w:line="400" w:lineRule="atLeast"/>
        <w:jc w:val="center"/>
        <w:rPr>
          <w:rFonts w:hint="eastAsia" w:ascii="宋体" w:hAnsi="宋体" w:cs="宋体"/>
          <w:b/>
          <w:bCs/>
          <w:sz w:val="48"/>
          <w:szCs w:val="48"/>
          <w:lang w:eastAsia="zh-CN"/>
        </w:rPr>
      </w:pPr>
    </w:p>
    <w:p>
      <w:pPr>
        <w:spacing w:line="400" w:lineRule="atLeast"/>
        <w:jc w:val="center"/>
        <w:rPr>
          <w:rFonts w:ascii="宋体" w:hAnsi="宋体" w:cs="宋体"/>
          <w:b/>
          <w:bCs/>
          <w:sz w:val="48"/>
          <w:szCs w:val="48"/>
        </w:rPr>
      </w:pPr>
      <w:r>
        <w:rPr>
          <w:rFonts w:hint="eastAsia" w:ascii="宋体" w:hAnsi="宋体" w:cs="宋体"/>
          <w:b/>
          <w:bCs/>
          <w:sz w:val="48"/>
          <w:szCs w:val="48"/>
          <w:lang w:eastAsia="zh-CN"/>
        </w:rPr>
        <w:t>广州从化净水</w:t>
      </w:r>
      <w:r>
        <w:rPr>
          <w:rFonts w:hint="eastAsia" w:ascii="宋体" w:hAnsi="宋体" w:cs="宋体"/>
          <w:b/>
          <w:bCs/>
          <w:sz w:val="48"/>
          <w:szCs w:val="48"/>
        </w:rPr>
        <w:t>有限公司</w:t>
      </w:r>
    </w:p>
    <w:p>
      <w:pPr>
        <w:spacing w:line="400" w:lineRule="atLeast"/>
        <w:jc w:val="center"/>
        <w:rPr>
          <w:rFonts w:asciiTheme="majorHAnsi" w:hAnsiTheme="majorHAnsi" w:eastAsiaTheme="majorEastAsia"/>
          <w:b/>
          <w:bCs/>
          <w:sz w:val="52"/>
          <w:szCs w:val="52"/>
        </w:rPr>
      </w:pPr>
      <w:r>
        <w:rPr>
          <w:rFonts w:hint="eastAsia" w:ascii="宋体" w:hAnsi="宋体" w:cs="宋体"/>
          <w:b/>
          <w:bCs/>
          <w:sz w:val="48"/>
          <w:szCs w:val="48"/>
        </w:rPr>
        <w:t>设备维修维护/技改项目合同</w:t>
      </w:r>
    </w:p>
    <w:p>
      <w:pPr>
        <w:spacing w:line="400" w:lineRule="atLeast"/>
        <w:jc w:val="center"/>
        <w:rPr>
          <w:rFonts w:ascii="宋体" w:hAnsi="宋体"/>
          <w:bCs/>
          <w:sz w:val="28"/>
        </w:rPr>
      </w:pPr>
      <w:r>
        <w:rPr>
          <w:rFonts w:hint="eastAsia" w:ascii="宋体" w:hAnsi="宋体"/>
          <w:bCs/>
          <w:sz w:val="28"/>
        </w:rPr>
        <w:t>（示范文本）</w:t>
      </w:r>
    </w:p>
    <w:p>
      <w:pPr>
        <w:spacing w:line="400" w:lineRule="atLeast"/>
        <w:jc w:val="center"/>
        <w:rPr>
          <w:rFonts w:ascii="宋体" w:hAnsi="宋体"/>
          <w:b/>
          <w:sz w:val="28"/>
        </w:rPr>
      </w:pPr>
    </w:p>
    <w:p>
      <w:pPr>
        <w:spacing w:line="400" w:lineRule="atLeast"/>
        <w:jc w:val="center"/>
        <w:rPr>
          <w:rFonts w:ascii="宋体" w:hAnsi="宋体"/>
          <w:b/>
          <w:sz w:val="28"/>
        </w:rPr>
      </w:pPr>
    </w:p>
    <w:p>
      <w:pPr>
        <w:spacing w:line="0" w:lineRule="atLeast"/>
        <w:rPr>
          <w:rFonts w:ascii="宋体" w:hAnsi="宋体"/>
          <w:b/>
          <w:sz w:val="30"/>
        </w:rPr>
      </w:pPr>
    </w:p>
    <w:p>
      <w:pPr>
        <w:spacing w:line="0" w:lineRule="atLeast"/>
        <w:rPr>
          <w:rFonts w:ascii="仿宋_GB2312" w:hAnsi="宋体" w:eastAsia="仿宋_GB2312"/>
          <w:b/>
          <w:sz w:val="30"/>
          <w:szCs w:val="30"/>
        </w:rPr>
      </w:pPr>
    </w:p>
    <w:p>
      <w:pPr>
        <w:spacing w:line="0" w:lineRule="atLeast"/>
        <w:ind w:left="1506" w:hanging="1506" w:hangingChars="500"/>
        <w:rPr>
          <w:rFonts w:hint="default" w:ascii="宋体" w:hAnsi="宋体" w:cs="宋体" w:eastAsiaTheme="minorEastAsia"/>
          <w:b/>
          <w:sz w:val="30"/>
          <w:szCs w:val="30"/>
          <w:lang w:val="en-US" w:eastAsia="zh-CN"/>
        </w:rPr>
      </w:pPr>
      <w:r>
        <w:rPr>
          <w:rFonts w:hint="eastAsia" w:ascii="宋体" w:hAnsi="宋体" w:cs="宋体"/>
          <w:b/>
          <w:sz w:val="30"/>
          <w:szCs w:val="30"/>
        </w:rPr>
        <w:t xml:space="preserve">项目名称: </w:t>
      </w:r>
      <w:r>
        <w:rPr>
          <w:rFonts w:hint="eastAsia" w:ascii="宋体" w:hAnsi="宋体" w:cs="宋体"/>
          <w:b/>
          <w:sz w:val="30"/>
          <w:szCs w:val="30"/>
          <w:lang w:val="en-US" w:eastAsia="zh-CN"/>
        </w:rPr>
        <w:t>从化公司2024年太平厂硫酸铝加药间改造项目</w:t>
      </w:r>
    </w:p>
    <w:p>
      <w:pPr>
        <w:pStyle w:val="46"/>
        <w:rPr>
          <w:rFonts w:hint="eastAsia" w:ascii="宋体" w:hAnsi="宋体" w:eastAsia="宋体" w:cs="宋体"/>
          <w:b/>
          <w:sz w:val="30"/>
          <w:szCs w:val="30"/>
          <w:lang w:val="en-US" w:eastAsia="zh-CN"/>
        </w:rPr>
      </w:pPr>
    </w:p>
    <w:p>
      <w:pPr>
        <w:pStyle w:val="46"/>
        <w:rPr>
          <w:rFonts w:hint="default" w:ascii="宋体" w:hAnsi="宋体" w:eastAsia="宋体" w:cs="宋体"/>
          <w:lang w:val="en-US" w:eastAsia="zh-CN"/>
        </w:rPr>
      </w:pPr>
      <w:r>
        <w:rPr>
          <w:rFonts w:hint="eastAsia" w:ascii="宋体" w:hAnsi="宋体" w:eastAsia="宋体" w:cs="宋体"/>
          <w:b/>
          <w:sz w:val="30"/>
          <w:szCs w:val="30"/>
          <w:lang w:val="en-US" w:eastAsia="zh-CN"/>
        </w:rPr>
        <w:t>项目编号：02222024000002</w:t>
      </w:r>
    </w:p>
    <w:p>
      <w:pPr>
        <w:spacing w:line="400" w:lineRule="atLeast"/>
        <w:rPr>
          <w:rFonts w:ascii="宋体" w:hAnsi="宋体" w:cs="宋体"/>
          <w:b/>
          <w:sz w:val="30"/>
          <w:szCs w:val="30"/>
        </w:rPr>
      </w:pPr>
    </w:p>
    <w:p>
      <w:pPr>
        <w:spacing w:line="480" w:lineRule="auto"/>
        <w:rPr>
          <w:rFonts w:ascii="宋体" w:hAnsi="宋体" w:cs="宋体"/>
          <w:b/>
          <w:bCs/>
          <w:sz w:val="30"/>
          <w:szCs w:val="30"/>
        </w:rPr>
      </w:pPr>
      <w:r>
        <w:rPr>
          <w:rFonts w:hint="eastAsia" w:ascii="宋体" w:hAnsi="宋体" w:cs="宋体"/>
          <w:b/>
          <w:sz w:val="30"/>
          <w:szCs w:val="30"/>
        </w:rPr>
        <w:t>合同编号：</w:t>
      </w:r>
      <w:r>
        <w:rPr>
          <w:rFonts w:hint="eastAsia" w:ascii="宋体" w:hAnsi="宋体" w:cs="宋体"/>
          <w:b/>
          <w:bCs/>
          <w:sz w:val="30"/>
          <w:szCs w:val="30"/>
        </w:rPr>
        <w:t>穗</w:t>
      </w:r>
      <w:r>
        <w:rPr>
          <w:rFonts w:hint="eastAsia" w:ascii="宋体" w:hAnsi="宋体" w:cs="宋体"/>
          <w:b/>
          <w:bCs/>
          <w:sz w:val="30"/>
          <w:szCs w:val="30"/>
          <w:lang w:val="en-US" w:eastAsia="zh-CN"/>
        </w:rPr>
        <w:t>从化</w:t>
      </w:r>
      <w:r>
        <w:rPr>
          <w:rFonts w:hint="eastAsia" w:ascii="宋体" w:hAnsi="宋体" w:cs="宋体"/>
          <w:b/>
          <w:bCs/>
          <w:sz w:val="30"/>
          <w:szCs w:val="30"/>
        </w:rPr>
        <w:t>净水合[</w:t>
      </w:r>
      <w:r>
        <w:rPr>
          <w:rFonts w:hint="eastAsia" w:ascii="宋体" w:hAnsi="宋体" w:cs="宋体"/>
          <w:b/>
          <w:bCs/>
          <w:sz w:val="30"/>
          <w:szCs w:val="30"/>
          <w:lang w:val="en-US" w:eastAsia="zh-CN"/>
        </w:rPr>
        <w:t>2024</w:t>
      </w:r>
      <w:r>
        <w:rPr>
          <w:rFonts w:hint="eastAsia" w:ascii="宋体" w:hAnsi="宋体" w:cs="宋体"/>
          <w:b/>
          <w:bCs/>
          <w:sz w:val="30"/>
          <w:szCs w:val="30"/>
        </w:rPr>
        <w:t>]    号</w:t>
      </w:r>
    </w:p>
    <w:p>
      <w:pPr>
        <w:spacing w:line="400" w:lineRule="atLeast"/>
        <w:rPr>
          <w:rFonts w:ascii="宋体" w:hAnsi="宋体" w:cs="宋体"/>
          <w:b/>
          <w:sz w:val="30"/>
          <w:szCs w:val="30"/>
        </w:rPr>
      </w:pPr>
    </w:p>
    <w:p>
      <w:pPr>
        <w:spacing w:line="400" w:lineRule="atLeast"/>
        <w:rPr>
          <w:rFonts w:ascii="宋体" w:hAnsi="宋体" w:cs="宋体"/>
          <w:b/>
          <w:sz w:val="30"/>
          <w:szCs w:val="30"/>
        </w:rPr>
      </w:pPr>
      <w:r>
        <w:rPr>
          <w:rFonts w:hint="eastAsia" w:ascii="宋体" w:hAnsi="宋体" w:cs="宋体"/>
          <w:b/>
          <w:sz w:val="30"/>
          <w:szCs w:val="30"/>
        </w:rPr>
        <w:t xml:space="preserve">甲方： </w:t>
      </w:r>
      <w:r>
        <w:rPr>
          <w:rFonts w:hint="eastAsia" w:ascii="宋体" w:hAnsi="宋体" w:cs="宋体"/>
          <w:b/>
          <w:sz w:val="30"/>
          <w:szCs w:val="30"/>
          <w:lang w:eastAsia="zh-CN"/>
        </w:rPr>
        <w:t>广州从化净水</w:t>
      </w:r>
      <w:r>
        <w:rPr>
          <w:rFonts w:hint="eastAsia" w:ascii="宋体" w:hAnsi="宋体" w:cs="宋体"/>
          <w:b/>
          <w:sz w:val="30"/>
          <w:szCs w:val="30"/>
        </w:rPr>
        <w:t>有限公司</w:t>
      </w:r>
    </w:p>
    <w:p>
      <w:pPr>
        <w:spacing w:line="400" w:lineRule="atLeast"/>
        <w:rPr>
          <w:rFonts w:ascii="宋体" w:hAnsi="宋体" w:cs="宋体"/>
          <w:b/>
          <w:sz w:val="30"/>
          <w:szCs w:val="30"/>
        </w:rPr>
      </w:pPr>
    </w:p>
    <w:p>
      <w:pPr>
        <w:spacing w:line="400" w:lineRule="atLeast"/>
        <w:rPr>
          <w:rFonts w:ascii="宋体" w:hAnsi="宋体" w:cs="宋体"/>
          <w:b/>
          <w:sz w:val="30"/>
          <w:szCs w:val="30"/>
        </w:rPr>
      </w:pPr>
      <w:r>
        <w:rPr>
          <w:rFonts w:hint="eastAsia" w:ascii="宋体" w:hAnsi="宋体" w:cs="宋体"/>
          <w:b/>
          <w:sz w:val="30"/>
          <w:szCs w:val="30"/>
        </w:rPr>
        <w:t>乙方</w:t>
      </w:r>
      <w:r>
        <w:rPr>
          <w:rFonts w:hint="eastAsia" w:ascii="宋体" w:hAnsi="宋体" w:cs="宋体"/>
          <w:sz w:val="30"/>
          <w:szCs w:val="30"/>
        </w:rPr>
        <w:t>：</w:t>
      </w:r>
    </w:p>
    <w:p>
      <w:pPr>
        <w:spacing w:line="400" w:lineRule="atLeast"/>
        <w:rPr>
          <w:rFonts w:ascii="宋体" w:hAnsi="宋体" w:cs="宋体"/>
          <w:b/>
          <w:sz w:val="30"/>
          <w:szCs w:val="30"/>
        </w:rPr>
      </w:pPr>
    </w:p>
    <w:p>
      <w:pPr>
        <w:spacing w:line="400" w:lineRule="atLeast"/>
        <w:rPr>
          <w:rFonts w:ascii="宋体" w:hAnsi="宋体" w:cs="宋体"/>
          <w:b/>
          <w:sz w:val="30"/>
          <w:szCs w:val="30"/>
        </w:rPr>
      </w:pPr>
    </w:p>
    <w:p>
      <w:pPr>
        <w:spacing w:line="400" w:lineRule="atLeast"/>
        <w:rPr>
          <w:rFonts w:ascii="宋体" w:hAnsi="宋体" w:cs="宋体"/>
          <w:b/>
          <w:sz w:val="30"/>
          <w:szCs w:val="30"/>
        </w:rPr>
      </w:pPr>
      <w:r>
        <w:rPr>
          <w:rFonts w:hint="eastAsia" w:ascii="宋体" w:hAnsi="宋体" w:cs="宋体"/>
          <w:b/>
          <w:sz w:val="30"/>
          <w:szCs w:val="30"/>
        </w:rPr>
        <w:t>签订日期：</w:t>
      </w:r>
      <w:r>
        <w:rPr>
          <w:rFonts w:hint="eastAsia" w:ascii="宋体" w:hAnsi="宋体" w:cs="宋体"/>
          <w:b/>
          <w:sz w:val="30"/>
          <w:szCs w:val="30"/>
          <w:lang w:val="en-US" w:eastAsia="zh-CN"/>
        </w:rPr>
        <w:t>2024</w:t>
      </w:r>
      <w:r>
        <w:rPr>
          <w:rFonts w:hint="eastAsia" w:ascii="宋体" w:hAnsi="宋体" w:cs="宋体"/>
          <w:b/>
          <w:sz w:val="30"/>
          <w:szCs w:val="30"/>
        </w:rPr>
        <w:t xml:space="preserve">年   月   日       </w:t>
      </w:r>
    </w:p>
    <w:p>
      <w:pPr>
        <w:spacing w:line="400" w:lineRule="atLeast"/>
        <w:rPr>
          <w:rFonts w:ascii="宋体" w:hAnsi="宋体" w:cs="宋体"/>
          <w:b/>
          <w:sz w:val="30"/>
        </w:rPr>
      </w:pPr>
      <w:r>
        <w:rPr>
          <w:rFonts w:hint="eastAsia" w:ascii="宋体" w:hAnsi="宋体" w:cs="宋体"/>
          <w:b/>
          <w:sz w:val="30"/>
        </w:rPr>
        <w:t>签约地点：广州市</w:t>
      </w:r>
    </w:p>
    <w:p>
      <w:pPr>
        <w:pStyle w:val="48"/>
        <w:spacing w:line="500" w:lineRule="exact"/>
        <w:jc w:val="center"/>
        <w:rPr>
          <w:rFonts w:hint="eastAsia" w:ascii="宋体" w:hAnsi="宋体" w:eastAsia="宋体" w:cs="宋体"/>
          <w:b/>
          <w:bCs/>
          <w:sz w:val="24"/>
          <w:szCs w:val="24"/>
          <w:lang w:val="zh-CN" w:eastAsia="zh-CN"/>
        </w:rPr>
      </w:pPr>
    </w:p>
    <w:p>
      <w:pPr>
        <w:pStyle w:val="48"/>
        <w:spacing w:line="500" w:lineRule="exact"/>
        <w:jc w:val="center"/>
        <w:rPr>
          <w:rFonts w:hint="eastAsia" w:ascii="宋体" w:hAnsi="宋体" w:eastAsia="宋体" w:cs="宋体"/>
          <w:b/>
          <w:bCs/>
          <w:sz w:val="24"/>
          <w:szCs w:val="24"/>
          <w:lang w:val="zh-CN" w:eastAsia="zh-CN"/>
        </w:rPr>
      </w:pPr>
    </w:p>
    <w:p>
      <w:pPr>
        <w:pStyle w:val="48"/>
        <w:spacing w:line="500" w:lineRule="exact"/>
        <w:jc w:val="center"/>
        <w:rPr>
          <w:rFonts w:hint="eastAsia" w:ascii="宋体" w:hAnsi="宋体" w:eastAsia="宋体" w:cs="宋体"/>
          <w:b/>
          <w:bCs/>
          <w:sz w:val="24"/>
          <w:szCs w:val="24"/>
          <w:lang w:val="zh-CN" w:eastAsia="zh-CN"/>
        </w:rPr>
      </w:pPr>
    </w:p>
    <w:p>
      <w:pPr>
        <w:pStyle w:val="48"/>
        <w:spacing w:line="500" w:lineRule="exact"/>
        <w:jc w:val="center"/>
        <w:rPr>
          <w:rFonts w:ascii="宋体" w:hAnsi="宋体" w:eastAsia="宋体" w:cs="宋体"/>
          <w:b/>
          <w:bCs/>
          <w:sz w:val="36"/>
          <w:szCs w:val="36"/>
          <w:lang w:val="zh-CN" w:eastAsia="zh-CN"/>
        </w:rPr>
      </w:pPr>
      <w:r>
        <w:rPr>
          <w:rFonts w:hint="eastAsia" w:ascii="宋体" w:hAnsi="宋体" w:eastAsia="宋体" w:cs="宋体"/>
          <w:b/>
          <w:bCs/>
          <w:sz w:val="24"/>
          <w:szCs w:val="24"/>
          <w:lang w:val="zh-CN" w:eastAsia="zh-CN"/>
        </w:rPr>
        <w:t>说明</w:t>
      </w:r>
    </w:p>
    <w:p>
      <w:pPr>
        <w:spacing w:line="560" w:lineRule="exact"/>
        <w:rPr>
          <w:rFonts w:ascii="宋体" w:hAnsi="宋体" w:cs="宋体"/>
          <w:sz w:val="24"/>
        </w:rPr>
      </w:pPr>
    </w:p>
    <w:p>
      <w:pPr>
        <w:spacing w:line="360" w:lineRule="auto"/>
        <w:ind w:firstLine="420" w:firstLineChars="200"/>
        <w:rPr>
          <w:rFonts w:ascii="宋体" w:hAnsi="宋体" w:cs="宋体"/>
          <w:szCs w:val="21"/>
        </w:rPr>
      </w:pPr>
      <w:r>
        <w:rPr>
          <w:rFonts w:hint="eastAsia" w:ascii="宋体" w:hAnsi="宋体" w:cs="宋体"/>
          <w:szCs w:val="21"/>
        </w:rPr>
        <w:t>为指导</w:t>
      </w:r>
      <w:r>
        <w:rPr>
          <w:rFonts w:hint="eastAsia" w:ascii="宋体" w:hAnsi="宋体" w:cs="宋体"/>
          <w:szCs w:val="21"/>
          <w:lang w:eastAsia="zh-CN"/>
        </w:rPr>
        <w:t>广州从化净水</w:t>
      </w:r>
      <w:r>
        <w:rPr>
          <w:rFonts w:hint="eastAsia" w:ascii="宋体" w:hAnsi="宋体" w:cs="宋体"/>
          <w:szCs w:val="21"/>
        </w:rPr>
        <w:t>有限公司合同承办部门（单位）的签约行为，维护公司的合法权益，依据《中华人民共和</w:t>
      </w:r>
      <w:r>
        <w:rPr>
          <w:rFonts w:hint="eastAsia" w:ascii="宋体" w:hAnsi="宋体" w:cs="宋体"/>
          <w:szCs w:val="21"/>
          <w:lang w:val="en-US" w:eastAsia="zh-CN"/>
        </w:rPr>
        <w:t>国民法典</w:t>
      </w:r>
      <w:r>
        <w:rPr>
          <w:rFonts w:hint="eastAsia" w:ascii="宋体" w:hAnsi="宋体" w:cs="宋体"/>
          <w:szCs w:val="21"/>
        </w:rPr>
        <w:t>》以及相关法律法规，制定《</w:t>
      </w:r>
      <w:r>
        <w:rPr>
          <w:rFonts w:hint="eastAsia" w:ascii="宋体" w:hAnsi="宋体" w:cs="宋体"/>
          <w:szCs w:val="21"/>
          <w:lang w:eastAsia="zh-CN"/>
        </w:rPr>
        <w:t>广州从化净水</w:t>
      </w:r>
      <w:r>
        <w:rPr>
          <w:rFonts w:hint="eastAsia" w:ascii="宋体" w:hAnsi="宋体" w:cs="宋体"/>
          <w:szCs w:val="21"/>
        </w:rPr>
        <w:t>有限公司设备维修维护/技改项目合同（示范文本）》（以下简称《设备维修维护/技改合同》），现就有关问题说明如下：</w:t>
      </w:r>
    </w:p>
    <w:p>
      <w:pPr>
        <w:spacing w:line="360" w:lineRule="auto"/>
        <w:ind w:firstLine="420" w:firstLineChars="200"/>
        <w:rPr>
          <w:rFonts w:ascii="宋体" w:hAnsi="宋体" w:cs="宋体"/>
          <w:szCs w:val="21"/>
        </w:rPr>
      </w:pPr>
      <w:r>
        <w:rPr>
          <w:rFonts w:hint="eastAsia" w:ascii="宋体" w:hAnsi="宋体" w:cs="宋体"/>
          <w:szCs w:val="21"/>
        </w:rPr>
        <w:t>一、适用范围</w:t>
      </w:r>
    </w:p>
    <w:p>
      <w:pPr>
        <w:spacing w:line="360" w:lineRule="auto"/>
        <w:ind w:firstLine="420" w:firstLineChars="200"/>
        <w:rPr>
          <w:rFonts w:ascii="宋体" w:hAnsi="宋体" w:cs="宋体"/>
          <w:szCs w:val="21"/>
        </w:rPr>
      </w:pPr>
      <w:r>
        <w:rPr>
          <w:rFonts w:hint="eastAsia" w:ascii="宋体" w:hAnsi="宋体" w:cs="宋体"/>
          <w:szCs w:val="21"/>
        </w:rPr>
        <w:t>《设备维修维护/技改合同》适用于</w:t>
      </w:r>
      <w:r>
        <w:rPr>
          <w:rFonts w:hint="eastAsia" w:ascii="宋体" w:hAnsi="宋体" w:cs="宋体"/>
          <w:szCs w:val="21"/>
          <w:lang w:eastAsia="zh-CN"/>
        </w:rPr>
        <w:t>广州从化净水</w:t>
      </w:r>
      <w:r>
        <w:rPr>
          <w:rFonts w:hint="eastAsia" w:ascii="宋体" w:hAnsi="宋体" w:cs="宋体"/>
          <w:szCs w:val="21"/>
        </w:rPr>
        <w:t>有限公司设备维修、维护、技术改造项目（已另行印发专项合同示范文本的除外）。</w:t>
      </w:r>
    </w:p>
    <w:p>
      <w:pPr>
        <w:spacing w:line="360" w:lineRule="auto"/>
        <w:ind w:firstLine="420" w:firstLineChars="200"/>
        <w:rPr>
          <w:rFonts w:ascii="宋体" w:hAnsi="宋体" w:cs="宋体"/>
          <w:szCs w:val="21"/>
        </w:rPr>
      </w:pPr>
      <w:r>
        <w:rPr>
          <w:rFonts w:hint="eastAsia" w:ascii="宋体" w:hAnsi="宋体" w:cs="宋体"/>
          <w:szCs w:val="21"/>
        </w:rPr>
        <w:t>二、组成及使用说明</w:t>
      </w:r>
    </w:p>
    <w:p>
      <w:pPr>
        <w:spacing w:line="360" w:lineRule="auto"/>
        <w:ind w:firstLine="420" w:firstLineChars="200"/>
        <w:rPr>
          <w:rFonts w:ascii="宋体" w:hAnsi="宋体" w:cs="宋体"/>
          <w:szCs w:val="21"/>
        </w:rPr>
      </w:pPr>
      <w:r>
        <w:rPr>
          <w:rFonts w:hint="eastAsia" w:ascii="宋体" w:hAnsi="宋体" w:cs="宋体"/>
          <w:szCs w:val="21"/>
        </w:rPr>
        <w:t>（一）《设备维修维护/技改合同》由合同条款、附件两部分组成。</w:t>
      </w:r>
    </w:p>
    <w:p>
      <w:pPr>
        <w:spacing w:line="360" w:lineRule="auto"/>
        <w:ind w:firstLine="420" w:firstLineChars="200"/>
        <w:rPr>
          <w:rFonts w:ascii="宋体" w:hAnsi="宋体" w:cs="宋体"/>
          <w:szCs w:val="21"/>
        </w:rPr>
      </w:pPr>
      <w:r>
        <w:rPr>
          <w:rFonts w:hint="eastAsia" w:ascii="宋体" w:hAnsi="宋体" w:cs="宋体"/>
          <w:szCs w:val="21"/>
        </w:rPr>
        <w:t>（二）文本中以“”标示及表格（已填写具体内容的仅供参考），由合同承办部门（单位）根据采购项目的具体特点和实际情况进行细化、完善、补充、修改或另行约定，但不得与公司制度相违背，如无需填写的，则填写“无”或划“</w:t>
      </w:r>
      <w:r>
        <w:rPr>
          <w:rFonts w:hint="eastAsia" w:ascii="宋体" w:hAnsi="宋体" w:cs="宋体"/>
          <w:szCs w:val="21"/>
          <w:u w:val="single"/>
        </w:rPr>
        <w:t xml:space="preserve">  /”</w:t>
      </w:r>
      <w:r>
        <w:rPr>
          <w:rFonts w:hint="eastAsia" w:ascii="宋体" w:hAnsi="宋体" w:cs="宋体"/>
          <w:szCs w:val="21"/>
        </w:rPr>
        <w:t>。</w:t>
      </w:r>
    </w:p>
    <w:p>
      <w:pPr>
        <w:spacing w:line="360" w:lineRule="auto"/>
        <w:ind w:firstLine="420" w:firstLineChars="200"/>
        <w:rPr>
          <w:rFonts w:ascii="宋体" w:hAnsi="宋体" w:cs="宋体"/>
          <w:b/>
          <w:szCs w:val="21"/>
        </w:rPr>
      </w:pPr>
      <w:r>
        <w:rPr>
          <w:rFonts w:hint="eastAsia" w:ascii="宋体" w:hAnsi="宋体" w:cs="宋体"/>
          <w:szCs w:val="21"/>
        </w:rPr>
        <w:t>（三）文本开头带“□”的条款为选择性条款，由合同承办部门（单位）根据采购项目的具体特点和实际情况在相应“□”内打“√”。</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beforeLines="30" w:line="384" w:lineRule="auto"/>
        <w:ind w:left="210" w:leftChars="100" w:firstLine="600" w:firstLineChars="250"/>
        <w:rPr>
          <w:rFonts w:ascii="宋体" w:hAnsi="宋体" w:cs="宋体"/>
          <w:sz w:val="24"/>
        </w:rPr>
      </w:pPr>
      <w:r>
        <w:rPr>
          <w:rFonts w:hint="eastAsia" w:ascii="宋体" w:hAnsi="宋体" w:cs="宋体"/>
          <w:sz w:val="24"/>
        </w:rPr>
        <w:t>根据《中华人民共和国</w:t>
      </w:r>
      <w:r>
        <w:rPr>
          <w:rFonts w:hint="eastAsia" w:ascii="宋体" w:hAnsi="宋体" w:cs="宋体"/>
          <w:sz w:val="24"/>
          <w:lang w:val="en-US" w:eastAsia="zh-CN"/>
        </w:rPr>
        <w:t>民法典</w:t>
      </w:r>
      <w:r>
        <w:rPr>
          <w:rFonts w:hint="eastAsia" w:ascii="宋体" w:hAnsi="宋体" w:cs="宋体"/>
          <w:sz w:val="24"/>
        </w:rPr>
        <w:t>》及其他有关法律、行政法规，</w:t>
      </w:r>
      <w:r>
        <w:rPr>
          <w:rFonts w:hint="eastAsia" w:ascii="宋体" w:hAnsi="宋体" w:cs="宋体"/>
          <w:sz w:val="24"/>
          <w:u w:val="single"/>
          <w:lang w:eastAsia="zh-CN"/>
        </w:rPr>
        <w:t>广州从化净水</w:t>
      </w:r>
      <w:r>
        <w:rPr>
          <w:rFonts w:hint="eastAsia" w:ascii="宋体" w:hAnsi="宋体" w:cs="宋体"/>
          <w:sz w:val="24"/>
          <w:u w:val="single"/>
        </w:rPr>
        <w:t>有限公司</w:t>
      </w:r>
      <w:r>
        <w:rPr>
          <w:rFonts w:hint="eastAsia" w:ascii="宋体" w:hAnsi="宋体" w:cs="宋体"/>
          <w:sz w:val="24"/>
        </w:rPr>
        <w:t xml:space="preserve"> （以下简称“甲方”）与 </w:t>
      </w:r>
      <w:r>
        <w:rPr>
          <w:rFonts w:hint="eastAsia" w:ascii="宋体" w:hAnsi="宋体" w:cs="宋体"/>
          <w:sz w:val="24"/>
          <w:u w:val="single"/>
          <w:lang w:eastAsia="zh-CN"/>
        </w:rPr>
        <w:t>…</w:t>
      </w:r>
      <w:r>
        <w:rPr>
          <w:rFonts w:hint="eastAsia" w:ascii="宋体" w:hAnsi="宋体" w:cs="宋体"/>
          <w:sz w:val="24"/>
        </w:rPr>
        <w:t>（以下简称“乙方”）就</w:t>
      </w:r>
      <w:r>
        <w:rPr>
          <w:rFonts w:hint="eastAsia" w:ascii="宋体" w:hAnsi="宋体" w:cs="宋体"/>
          <w:sz w:val="24"/>
          <w:u w:val="single"/>
          <w:lang w:val="en-US" w:eastAsia="zh-CN"/>
        </w:rPr>
        <w:t>从化公司2024年太平厂硫酸铝加药间改造项目</w:t>
      </w:r>
      <w:r>
        <w:rPr>
          <w:rFonts w:hint="eastAsia" w:ascii="宋体" w:hAnsi="宋体" w:cs="宋体"/>
          <w:sz w:val="24"/>
        </w:rPr>
        <w:t>承接工作事宜，遵循平等、自愿、公平和诚实信用的原则，双方协商一致，订立本合同。</w:t>
      </w:r>
    </w:p>
    <w:p>
      <w:pPr>
        <w:spacing w:beforeLines="30" w:line="384" w:lineRule="auto"/>
        <w:ind w:left="210" w:leftChars="100" w:firstLine="482" w:firstLineChars="200"/>
        <w:rPr>
          <w:rFonts w:ascii="宋体" w:hAnsi="宋体" w:cs="宋体"/>
          <w:b/>
          <w:bCs/>
          <w:sz w:val="24"/>
        </w:rPr>
      </w:pPr>
      <w:r>
        <w:rPr>
          <w:rFonts w:hint="eastAsia" w:ascii="宋体" w:hAnsi="宋体" w:cs="宋体"/>
          <w:b/>
          <w:bCs/>
          <w:sz w:val="24"/>
        </w:rPr>
        <w:t>第一条 组成合同的文件及优先顺序</w:t>
      </w:r>
    </w:p>
    <w:p>
      <w:pPr>
        <w:spacing w:line="384" w:lineRule="auto"/>
        <w:ind w:firstLine="482"/>
        <w:rPr>
          <w:rFonts w:ascii="宋体" w:hAnsi="宋体" w:cs="宋体"/>
          <w:bCs/>
          <w:sz w:val="24"/>
        </w:rPr>
      </w:pPr>
      <w:r>
        <w:rPr>
          <w:rFonts w:hint="eastAsia" w:hAnsi="宋体" w:cs="宋体"/>
          <w:bCs/>
          <w:sz w:val="24"/>
        </w:rPr>
        <w:t>下列文件（如有）均为本合同的组成部分，可视为能相互说明和补充的，如果合同文件存在歧义或相矛盾的地方，则根据以下次序判断：</w:t>
      </w:r>
    </w:p>
    <w:p>
      <w:pPr>
        <w:spacing w:line="384" w:lineRule="auto"/>
        <w:ind w:firstLine="482"/>
        <w:rPr>
          <w:rFonts w:ascii="宋体" w:hAnsi="宋体" w:cs="宋体"/>
          <w:bCs/>
          <w:sz w:val="24"/>
        </w:rPr>
      </w:pPr>
      <w:r>
        <w:rPr>
          <w:rFonts w:hint="eastAsia" w:ascii="宋体" w:hAnsi="宋体" w:cs="宋体"/>
          <w:bCs/>
          <w:sz w:val="24"/>
        </w:rPr>
        <w:t xml:space="preserve">⑴ </w:t>
      </w:r>
      <w:r>
        <w:rPr>
          <w:rFonts w:hint="eastAsia" w:ascii="宋体" w:hAnsi="宋体" w:cs="宋体"/>
          <w:sz w:val="24"/>
        </w:rPr>
        <w:t>在本合同实施过程双方签署的补充与修正文件</w:t>
      </w:r>
      <w:r>
        <w:rPr>
          <w:rFonts w:hint="eastAsia" w:ascii="宋体" w:hAnsi="宋体" w:cs="宋体"/>
          <w:bCs/>
          <w:sz w:val="24"/>
        </w:rPr>
        <w:t>；</w:t>
      </w:r>
    </w:p>
    <w:p>
      <w:pPr>
        <w:spacing w:line="384" w:lineRule="auto"/>
        <w:ind w:firstLine="482"/>
        <w:rPr>
          <w:rFonts w:ascii="宋体" w:hAnsi="宋体" w:cs="宋体"/>
          <w:bCs/>
          <w:sz w:val="24"/>
        </w:rPr>
      </w:pPr>
      <w:r>
        <w:rPr>
          <w:rFonts w:hint="eastAsia" w:ascii="宋体" w:hAnsi="宋体" w:cs="宋体"/>
          <w:bCs/>
          <w:sz w:val="24"/>
        </w:rPr>
        <w:t>⑵ 本合同书；</w:t>
      </w:r>
    </w:p>
    <w:p>
      <w:pPr>
        <w:spacing w:line="384" w:lineRule="auto"/>
        <w:ind w:firstLine="482"/>
        <w:rPr>
          <w:rFonts w:ascii="宋体" w:hAnsi="宋体" w:cs="宋体"/>
          <w:bCs/>
          <w:sz w:val="24"/>
        </w:rPr>
      </w:pPr>
      <w:r>
        <w:rPr>
          <w:rFonts w:hint="eastAsia" w:ascii="宋体" w:hAnsi="宋体" w:cs="宋体"/>
          <w:bCs/>
          <w:sz w:val="24"/>
        </w:rPr>
        <w:t>⑶ 中标通知书/发包通知书/</w:t>
      </w:r>
      <w:r>
        <w:rPr>
          <w:rFonts w:hint="eastAsia" w:ascii="宋体" w:hAnsi="宋体" w:cs="宋体"/>
          <w:bCs/>
          <w:sz w:val="24"/>
          <w:lang w:val="en-US" w:eastAsia="zh-CN"/>
        </w:rPr>
        <w:t>成交通知书/</w:t>
      </w:r>
      <w:r>
        <w:rPr>
          <w:rFonts w:hint="eastAsia" w:ascii="宋体" w:hAnsi="宋体" w:cs="宋体"/>
          <w:bCs/>
          <w:sz w:val="24"/>
        </w:rPr>
        <w:t>委托函；</w:t>
      </w:r>
    </w:p>
    <w:p>
      <w:pPr>
        <w:spacing w:line="384" w:lineRule="auto"/>
        <w:ind w:firstLine="482"/>
        <w:rPr>
          <w:rFonts w:ascii="宋体" w:hAnsi="宋体" w:cs="宋体"/>
          <w:bCs/>
          <w:sz w:val="24"/>
        </w:rPr>
      </w:pPr>
      <w:r>
        <w:rPr>
          <w:rFonts w:hint="eastAsia" w:ascii="宋体" w:hAnsi="宋体" w:cs="宋体"/>
          <w:bCs/>
          <w:sz w:val="24"/>
        </w:rPr>
        <w:t>⑷ 招标文件/询价文件；</w:t>
      </w:r>
    </w:p>
    <w:p>
      <w:pPr>
        <w:spacing w:line="384" w:lineRule="auto"/>
        <w:ind w:firstLine="482"/>
        <w:rPr>
          <w:rFonts w:ascii="宋体" w:hAnsi="宋体" w:cs="宋体"/>
          <w:bCs/>
          <w:sz w:val="24"/>
        </w:rPr>
      </w:pPr>
      <w:r>
        <w:rPr>
          <w:rFonts w:hint="eastAsia" w:ascii="宋体" w:hAnsi="宋体" w:cs="宋体"/>
          <w:bCs/>
          <w:sz w:val="24"/>
        </w:rPr>
        <w:t>⑸ 投标文件/响应文件；</w:t>
      </w:r>
    </w:p>
    <w:p>
      <w:pPr>
        <w:spacing w:line="384" w:lineRule="auto"/>
        <w:ind w:firstLine="482"/>
        <w:rPr>
          <w:rFonts w:ascii="宋体" w:hAnsi="宋体" w:cs="宋体"/>
          <w:bCs/>
          <w:sz w:val="24"/>
        </w:rPr>
      </w:pPr>
      <w:r>
        <w:rPr>
          <w:rFonts w:hint="eastAsia" w:ascii="宋体" w:hAnsi="宋体" w:cs="宋体"/>
          <w:bCs/>
          <w:sz w:val="24"/>
        </w:rPr>
        <w:t>⑹ 标准、规范及有关技术性文件；</w:t>
      </w:r>
    </w:p>
    <w:p>
      <w:pPr>
        <w:spacing w:line="384" w:lineRule="auto"/>
        <w:ind w:firstLine="482"/>
        <w:rPr>
          <w:rFonts w:ascii="宋体" w:hAnsi="宋体" w:cs="宋体"/>
          <w:bCs/>
          <w:sz w:val="24"/>
        </w:rPr>
      </w:pPr>
      <w:r>
        <w:rPr>
          <w:rFonts w:hint="eastAsia" w:ascii="宋体" w:hAnsi="宋体" w:cs="宋体"/>
          <w:bCs/>
          <w:sz w:val="24"/>
        </w:rPr>
        <w:t>⑺ 图纸</w:t>
      </w:r>
      <w:r>
        <w:rPr>
          <w:rFonts w:hint="eastAsia" w:ascii="宋体" w:hAnsi="宋体" w:cs="宋体"/>
          <w:bCs/>
          <w:sz w:val="24"/>
          <w:lang w:eastAsia="zh-CN"/>
        </w:rPr>
        <w:t>（</w:t>
      </w:r>
      <w:r>
        <w:rPr>
          <w:rFonts w:hint="eastAsia" w:ascii="宋体" w:hAnsi="宋体" w:cs="宋体"/>
          <w:bCs/>
          <w:sz w:val="24"/>
          <w:lang w:val="en-US" w:eastAsia="zh-CN"/>
        </w:rPr>
        <w:t>如有</w:t>
      </w:r>
      <w:r>
        <w:rPr>
          <w:rFonts w:hint="eastAsia" w:ascii="宋体" w:hAnsi="宋体" w:cs="宋体"/>
          <w:bCs/>
          <w:sz w:val="24"/>
          <w:lang w:eastAsia="zh-CN"/>
        </w:rPr>
        <w:t>）</w:t>
      </w:r>
      <w:r>
        <w:rPr>
          <w:rFonts w:hint="eastAsia" w:ascii="宋体" w:hAnsi="宋体" w:cs="宋体"/>
          <w:bCs/>
          <w:sz w:val="24"/>
        </w:rPr>
        <w:t>；</w:t>
      </w:r>
    </w:p>
    <w:p>
      <w:pPr>
        <w:spacing w:line="384" w:lineRule="auto"/>
        <w:ind w:firstLine="482"/>
        <w:rPr>
          <w:rFonts w:ascii="宋体" w:hAnsi="宋体" w:cs="宋体"/>
          <w:bCs/>
          <w:sz w:val="24"/>
        </w:rPr>
      </w:pPr>
      <w:r>
        <w:rPr>
          <w:rFonts w:hint="eastAsia" w:ascii="宋体" w:hAnsi="宋体" w:cs="宋体"/>
          <w:bCs/>
          <w:sz w:val="24"/>
        </w:rPr>
        <w:t>⑻ 工程量清单/</w:t>
      </w:r>
      <w:r>
        <w:rPr>
          <w:rFonts w:hint="eastAsia" w:ascii="宋体" w:hAnsi="宋体" w:cs="宋体"/>
          <w:sz w:val="24"/>
        </w:rPr>
        <w:t>工程报价单或预算书；</w:t>
      </w:r>
    </w:p>
    <w:p>
      <w:pPr>
        <w:spacing w:line="384" w:lineRule="auto"/>
        <w:ind w:firstLine="482"/>
        <w:rPr>
          <w:rFonts w:ascii="宋体" w:hAnsi="宋体" w:cs="宋体"/>
          <w:bCs/>
          <w:sz w:val="24"/>
        </w:rPr>
      </w:pPr>
      <w:r>
        <w:rPr>
          <w:rFonts w:hint="eastAsia" w:ascii="宋体" w:hAnsi="宋体" w:cs="宋体"/>
          <w:bCs/>
          <w:sz w:val="24"/>
        </w:rPr>
        <w:t>⑼ 本合同其他附件；</w:t>
      </w:r>
    </w:p>
    <w:p>
      <w:pPr>
        <w:spacing w:line="384" w:lineRule="auto"/>
        <w:ind w:firstLine="482"/>
        <w:rPr>
          <w:rFonts w:ascii="宋体" w:hAnsi="宋体" w:cs="宋体"/>
          <w:b/>
          <w:bCs/>
          <w:sz w:val="24"/>
        </w:rPr>
      </w:pPr>
      <w:r>
        <w:rPr>
          <w:rFonts w:hint="eastAsia" w:ascii="宋体" w:hAnsi="宋体" w:cs="宋体"/>
          <w:b/>
          <w:bCs/>
          <w:sz w:val="24"/>
        </w:rPr>
        <w:t>第二条 项目概况、项目承包范围</w:t>
      </w:r>
    </w:p>
    <w:p>
      <w:pPr>
        <w:spacing w:line="384" w:lineRule="auto"/>
        <w:ind w:firstLine="480" w:firstLineChars="200"/>
        <w:rPr>
          <w:rFonts w:ascii="宋体" w:hAnsi="宋体" w:cs="宋体"/>
          <w:sz w:val="24"/>
          <w:u w:val="single"/>
        </w:rPr>
      </w:pPr>
      <w:r>
        <w:rPr>
          <w:rFonts w:hint="eastAsia" w:ascii="宋体" w:hAnsi="宋体" w:cs="宋体"/>
          <w:sz w:val="24"/>
        </w:rPr>
        <w:t>2.1项目名称：</w:t>
      </w:r>
      <w:r>
        <w:rPr>
          <w:rFonts w:hint="eastAsia" w:ascii="宋体" w:hAnsi="宋体" w:cs="宋体"/>
          <w:sz w:val="24"/>
          <w:u w:val="single"/>
          <w:lang w:val="en-US" w:eastAsia="zh-CN"/>
        </w:rPr>
        <w:t>从化公司2024年太平厂硫酸铝加药间改造项目</w:t>
      </w:r>
    </w:p>
    <w:p>
      <w:pPr>
        <w:spacing w:line="384" w:lineRule="auto"/>
        <w:ind w:firstLine="480" w:firstLineChars="200"/>
        <w:rPr>
          <w:rFonts w:ascii="宋体" w:hAnsi="宋体" w:cs="宋体"/>
          <w:sz w:val="24"/>
          <w:u w:val="single"/>
        </w:rPr>
      </w:pPr>
      <w:r>
        <w:rPr>
          <w:rFonts w:hint="eastAsia" w:ascii="宋体" w:hAnsi="宋体" w:cs="宋体"/>
          <w:sz w:val="24"/>
        </w:rPr>
        <w:t>2.2项目地点：</w:t>
      </w:r>
      <w:r>
        <w:rPr>
          <w:rFonts w:hint="eastAsia" w:ascii="宋体" w:hAnsi="宋体" w:cs="宋体"/>
          <w:sz w:val="24"/>
          <w:u w:val="single"/>
          <w:lang w:val="en-US" w:eastAsia="zh-CN"/>
        </w:rPr>
        <w:t>广州从化净水公司下辖太平镇污水处理厂</w:t>
      </w:r>
      <w:r>
        <w:rPr>
          <w:rFonts w:hint="eastAsia" w:ascii="宋体" w:hAnsi="宋体" w:cs="宋体"/>
          <w:sz w:val="24"/>
          <w:u w:val="single"/>
        </w:rPr>
        <w:t>。</w:t>
      </w:r>
    </w:p>
    <w:p>
      <w:pPr>
        <w:adjustRightInd w:val="0"/>
        <w:snapToGrid w:val="0"/>
        <w:spacing w:line="600" w:lineRule="exact"/>
        <w:jc w:val="left"/>
        <w:rPr>
          <w:rFonts w:hint="eastAsia" w:ascii="宋体" w:hAnsi="宋体" w:cs="宋体"/>
          <w:sz w:val="24"/>
          <w:u w:val="single"/>
          <w:lang w:val="en-US" w:eastAsia="zh-CN"/>
        </w:rPr>
      </w:pPr>
      <w:r>
        <w:rPr>
          <w:rFonts w:hint="eastAsia" w:ascii="宋体" w:hAnsi="宋体" w:cs="宋体"/>
          <w:sz w:val="24"/>
        </w:rPr>
        <w:t>2.3项目内容：</w:t>
      </w:r>
      <w:r>
        <w:rPr>
          <w:rFonts w:hint="eastAsia" w:ascii="宋体" w:hAnsi="宋体" w:cs="宋体"/>
          <w:sz w:val="24"/>
          <w:u w:val="single"/>
          <w:lang w:val="en-US" w:eastAsia="zh-CN"/>
        </w:rPr>
        <w:t>对广州从化净水有限公司下辖的太平镇污水处理厂硫酸铝加药间进行改造。具体实施内容为：1.增加2个硫酸铝加药罐（6吨），增加后硫酸铝合计30吨存量，满足动态15天以上使用储存量。2.增加一个6吨储药罐用于存放碳源（乙酸钠），并配备加药泵及送药管道。</w:t>
      </w:r>
    </w:p>
    <w:p>
      <w:pPr>
        <w:spacing w:line="384" w:lineRule="auto"/>
        <w:ind w:firstLine="480" w:firstLineChars="200"/>
        <w:rPr>
          <w:rFonts w:ascii="宋体" w:hAnsi="宋体" w:cs="宋体"/>
          <w:sz w:val="24"/>
        </w:rPr>
      </w:pPr>
      <w:r>
        <w:rPr>
          <w:rFonts w:hint="eastAsia" w:ascii="宋体" w:hAnsi="宋体" w:cs="宋体"/>
          <w:sz w:val="24"/>
        </w:rPr>
        <w:t>2.4项目承包范围：包括提供所有需要的材料、机械、人工、设施、完成合同约定的工作和服务。按照甲方审核同意的方案、图纸所包括的实施范围和内容进行施工并在质量保修期内承担项目质量保修责任。（如需可附表）</w:t>
      </w:r>
    </w:p>
    <w:p>
      <w:pPr>
        <w:spacing w:line="384" w:lineRule="auto"/>
        <w:ind w:firstLine="482" w:firstLineChars="200"/>
        <w:rPr>
          <w:rFonts w:ascii="宋体" w:hAnsi="宋体" w:cs="宋体"/>
          <w:b/>
          <w:bCs/>
          <w:sz w:val="24"/>
          <w:highlight w:val="none"/>
        </w:rPr>
      </w:pPr>
      <w:r>
        <w:rPr>
          <w:rFonts w:hint="eastAsia" w:ascii="宋体" w:hAnsi="宋体" w:cs="宋体"/>
          <w:b/>
          <w:bCs/>
          <w:sz w:val="24"/>
          <w:highlight w:val="none"/>
        </w:rPr>
        <w:t>第三条 项目承包方式</w:t>
      </w:r>
    </w:p>
    <w:p>
      <w:pPr>
        <w:spacing w:line="384" w:lineRule="auto"/>
        <w:ind w:firstLine="420" w:firstLineChars="200"/>
        <w:rPr>
          <w:rFonts w:ascii="宋体" w:hAnsi="宋体" w:cs="宋体"/>
          <w:sz w:val="24"/>
          <w:highlight w:val="none"/>
        </w:rPr>
      </w:pPr>
      <w:r>
        <w:rPr>
          <w:rFonts w:hint="eastAsia" w:ascii="宋体" w:hAnsi="宋体" w:cs="宋体"/>
          <w:szCs w:val="21"/>
          <w:highlight w:val="none"/>
        </w:rPr>
        <w:sym w:font="Wingdings 2" w:char="0052"/>
      </w:r>
      <w:r>
        <w:rPr>
          <w:rFonts w:hint="eastAsia" w:ascii="宋体" w:hAnsi="宋体" w:cs="宋体"/>
          <w:sz w:val="24"/>
          <w:highlight w:val="none"/>
        </w:rPr>
        <w:t>包工、包料、包工期、包质量、包安全、包文明施工。综合单价包干、项目措施费包干。（单价包干要求附工程量报价</w:t>
      </w:r>
      <w:r>
        <w:rPr>
          <w:rFonts w:ascii="宋体" w:hAnsi="宋体" w:cs="宋体"/>
          <w:sz w:val="24"/>
          <w:highlight w:val="none"/>
        </w:rPr>
        <w:t>/</w:t>
      </w:r>
      <w:r>
        <w:rPr>
          <w:rFonts w:hint="eastAsia" w:ascii="宋体" w:hAnsi="宋体" w:cs="宋体"/>
          <w:sz w:val="24"/>
          <w:highlight w:val="none"/>
        </w:rPr>
        <w:t>工程预算书）</w:t>
      </w:r>
    </w:p>
    <w:p>
      <w:pPr>
        <w:spacing w:line="384" w:lineRule="auto"/>
        <w:ind w:firstLine="420" w:firstLineChars="200"/>
        <w:rPr>
          <w:rFonts w:ascii="宋体" w:hAnsi="宋体" w:cs="宋体"/>
          <w:sz w:val="24"/>
          <w:highlight w:val="none"/>
        </w:rPr>
      </w:pPr>
      <w:r>
        <w:rPr>
          <w:rFonts w:hint="eastAsia" w:ascii="宋体" w:hAnsi="宋体" w:cs="宋体"/>
          <w:szCs w:val="21"/>
          <w:highlight w:val="none"/>
        </w:rPr>
        <w:t>□</w:t>
      </w:r>
      <w:r>
        <w:rPr>
          <w:rFonts w:hint="eastAsia" w:ascii="宋体" w:hAnsi="宋体" w:cs="宋体"/>
          <w:sz w:val="24"/>
          <w:highlight w:val="none"/>
        </w:rPr>
        <w:t>包工、包料、包质量、包工期、包安全、包文明施工、包设计、包调试、包验收的施工图纸，以总价包干形式。</w:t>
      </w:r>
    </w:p>
    <w:p>
      <w:pPr>
        <w:spacing w:line="384" w:lineRule="auto"/>
        <w:ind w:firstLine="482" w:firstLineChars="200"/>
        <w:rPr>
          <w:rFonts w:ascii="宋体" w:hAnsi="宋体" w:cs="宋体"/>
          <w:b/>
          <w:bCs/>
          <w:sz w:val="24"/>
          <w:highlight w:val="none"/>
        </w:rPr>
      </w:pPr>
      <w:r>
        <w:rPr>
          <w:rFonts w:hint="eastAsia" w:ascii="宋体" w:hAnsi="宋体" w:cs="宋体"/>
          <w:b/>
          <w:bCs/>
          <w:sz w:val="24"/>
          <w:highlight w:val="none"/>
        </w:rPr>
        <w:t>第四条合同价款</w:t>
      </w:r>
    </w:p>
    <w:p>
      <w:pPr>
        <w:spacing w:line="384" w:lineRule="auto"/>
        <w:ind w:firstLine="480" w:firstLineChars="200"/>
        <w:rPr>
          <w:rFonts w:ascii="宋体" w:hAnsi="宋体" w:cs="宋体"/>
          <w:bCs/>
          <w:sz w:val="24"/>
          <w:highlight w:val="none"/>
          <w:bdr w:val="single" w:color="auto" w:sz="4" w:space="0"/>
        </w:rPr>
      </w:pPr>
      <w:r>
        <w:rPr>
          <w:rFonts w:ascii="宋体" w:hAnsi="宋体" w:cs="宋体"/>
          <w:sz w:val="24"/>
          <w:highlight w:val="none"/>
        </w:rPr>
        <w:t>4.1</w:t>
      </w:r>
      <w:r>
        <w:rPr>
          <w:rFonts w:hint="eastAsia" w:ascii="宋体" w:hAnsi="宋体" w:cs="宋体"/>
          <w:sz w:val="24"/>
          <w:highlight w:val="none"/>
        </w:rPr>
        <w:t>合同价款按以下</w:t>
      </w:r>
      <w:r>
        <w:rPr>
          <w:rFonts w:hint="eastAsia" w:ascii="宋体" w:hAnsi="宋体" w:cs="宋体"/>
          <w:sz w:val="24"/>
          <w:highlight w:val="none"/>
          <w:lang w:eastAsia="zh-CN"/>
        </w:rPr>
        <w:t>（</w:t>
      </w:r>
      <w:r>
        <w:rPr>
          <w:rFonts w:hint="eastAsia" w:ascii="宋体" w:hAnsi="宋体" w:cs="宋体"/>
          <w:sz w:val="24"/>
          <w:highlight w:val="none"/>
          <w:lang w:val="en-US" w:eastAsia="zh-CN"/>
        </w:rPr>
        <w:t>1</w:t>
      </w:r>
      <w:r>
        <w:rPr>
          <w:rFonts w:hint="eastAsia" w:ascii="宋体" w:hAnsi="宋体" w:cs="宋体"/>
          <w:sz w:val="24"/>
          <w:highlight w:val="none"/>
          <w:lang w:eastAsia="zh-CN"/>
        </w:rPr>
        <w:t>）</w:t>
      </w:r>
      <w:r>
        <w:rPr>
          <w:rFonts w:hint="eastAsia" w:ascii="宋体" w:hAnsi="宋体" w:cs="宋体"/>
          <w:sz w:val="24"/>
          <w:highlight w:val="none"/>
        </w:rPr>
        <w:t>执行。</w:t>
      </w:r>
    </w:p>
    <w:p>
      <w:pPr>
        <w:spacing w:line="384" w:lineRule="auto"/>
        <w:ind w:firstLine="480" w:firstLineChars="200"/>
        <w:rPr>
          <w:rFonts w:ascii="宋体" w:hAnsi="宋体" w:cs="宋体"/>
          <w:sz w:val="24"/>
          <w:highlight w:val="none"/>
        </w:rPr>
      </w:pPr>
      <w:r>
        <w:rPr>
          <w:rFonts w:hint="eastAsia" w:ascii="宋体" w:hAnsi="宋体" w:cs="宋体"/>
          <w:bCs/>
          <w:sz w:val="24"/>
          <w:highlight w:val="none"/>
        </w:rPr>
        <w:t>（</w:t>
      </w:r>
      <w:r>
        <w:rPr>
          <w:rFonts w:ascii="宋体" w:hAnsi="宋体" w:cs="宋体"/>
          <w:bCs/>
          <w:sz w:val="24"/>
          <w:highlight w:val="none"/>
        </w:rPr>
        <w:t>1</w:t>
      </w:r>
      <w:r>
        <w:rPr>
          <w:rFonts w:hint="eastAsia" w:ascii="宋体" w:hAnsi="宋体" w:cs="宋体"/>
          <w:bCs/>
          <w:sz w:val="24"/>
          <w:highlight w:val="none"/>
        </w:rPr>
        <w:t>）</w:t>
      </w:r>
      <w:r>
        <w:rPr>
          <w:rFonts w:hint="eastAsia" w:ascii="宋体" w:hAnsi="宋体" w:cs="宋体"/>
          <w:sz w:val="24"/>
          <w:highlight w:val="none"/>
        </w:rPr>
        <w:t>合同暂定总价为：</w:t>
      </w:r>
      <w:r>
        <w:rPr>
          <w:rFonts w:hint="eastAsia" w:ascii="宋体" w:hAnsi="宋体" w:cs="宋体"/>
          <w:b/>
          <w:sz w:val="24"/>
          <w:highlight w:val="none"/>
          <w:u w:val="single"/>
        </w:rPr>
        <w:t>人民币</w:t>
      </w:r>
      <w:r>
        <w:rPr>
          <w:rFonts w:hint="eastAsia" w:ascii="宋体" w:hAnsi="宋体" w:cs="宋体"/>
          <w:b/>
          <w:sz w:val="24"/>
          <w:highlight w:val="none"/>
          <w:u w:val="single"/>
          <w:lang w:eastAsia="zh-CN"/>
        </w:rPr>
        <w:t>…</w:t>
      </w:r>
      <w:r>
        <w:rPr>
          <w:rFonts w:hint="eastAsia" w:ascii="宋体" w:hAnsi="宋体" w:cs="宋体"/>
          <w:b/>
          <w:sz w:val="24"/>
          <w:highlight w:val="none"/>
          <w:u w:val="single"/>
        </w:rPr>
        <w:t>元</w:t>
      </w:r>
      <w:r>
        <w:rPr>
          <w:rFonts w:hint="eastAsia" w:ascii="宋体" w:hAnsi="宋体" w:cs="宋体"/>
          <w:sz w:val="24"/>
          <w:highlight w:val="none"/>
        </w:rPr>
        <w:t>（大写</w:t>
      </w:r>
      <w:r>
        <w:rPr>
          <w:rFonts w:ascii="宋体" w:hAnsi="宋体" w:cs="宋体"/>
          <w:sz w:val="24"/>
          <w:highlight w:val="none"/>
        </w:rPr>
        <w:t>:</w:t>
      </w:r>
      <w:r>
        <w:rPr>
          <w:rFonts w:hint="eastAsia" w:ascii="宋体" w:hAnsi="宋体" w:cs="宋体"/>
          <w:sz w:val="24"/>
          <w:highlight w:val="none"/>
        </w:rPr>
        <w:t>）。经甲方或甲方委托有资质第三方机构审核后，审核价作为合同结算价。若合同结算价超合同暂定总价，双方另行签订补充协议。</w:t>
      </w:r>
    </w:p>
    <w:p>
      <w:pPr>
        <w:spacing w:line="384" w:lineRule="auto"/>
        <w:ind w:firstLine="480" w:firstLineChars="200"/>
        <w:rPr>
          <w:rFonts w:ascii="宋体" w:hAnsi="宋体" w:cs="宋体"/>
          <w:sz w:val="24"/>
          <w:highlight w:val="none"/>
        </w:rPr>
      </w:pPr>
      <w:r>
        <w:rPr>
          <w:rFonts w:hint="eastAsia" w:ascii="宋体" w:hAnsi="宋体" w:cs="宋体"/>
          <w:sz w:val="24"/>
          <w:highlight w:val="none"/>
        </w:rPr>
        <w:t>综合单价为：</w:t>
      </w:r>
      <w:r>
        <w:rPr>
          <w:rFonts w:hint="eastAsia" w:ascii="宋体" w:hAnsi="宋体" w:cs="宋体"/>
          <w:sz w:val="24"/>
          <w:highlight w:val="none"/>
          <w:u w:val="single"/>
        </w:rPr>
        <w:t>人民币</w:t>
      </w:r>
      <w:r>
        <w:rPr>
          <w:rFonts w:hint="eastAsia" w:ascii="宋体" w:hAnsi="宋体" w:cs="宋体"/>
          <w:sz w:val="24"/>
          <w:highlight w:val="none"/>
          <w:u w:val="single"/>
          <w:lang w:eastAsia="zh-CN"/>
        </w:rPr>
        <w:t>…</w:t>
      </w:r>
      <w:r>
        <w:rPr>
          <w:rFonts w:hint="eastAsia" w:ascii="宋体" w:hAnsi="宋体" w:cs="宋体"/>
          <w:sz w:val="24"/>
          <w:highlight w:val="none"/>
          <w:u w:val="single"/>
        </w:rPr>
        <w:t>元</w:t>
      </w:r>
      <w:r>
        <w:rPr>
          <w:rFonts w:ascii="宋体" w:hAnsi="宋体" w:cs="宋体"/>
          <w:sz w:val="24"/>
          <w:highlight w:val="none"/>
          <w:u w:val="single"/>
        </w:rPr>
        <w:t>/m</w:t>
      </w:r>
      <w:r>
        <w:rPr>
          <w:rFonts w:ascii="宋体" w:hAnsi="宋体" w:cs="宋体"/>
          <w:sz w:val="24"/>
          <w:highlight w:val="none"/>
          <w:u w:val="single"/>
          <w:vertAlign w:val="superscript"/>
        </w:rPr>
        <w:t>3</w:t>
      </w:r>
      <w:r>
        <w:rPr>
          <w:rFonts w:ascii="宋体" w:hAnsi="宋体" w:cs="宋体"/>
          <w:sz w:val="24"/>
          <w:highlight w:val="none"/>
          <w:u w:val="single"/>
        </w:rPr>
        <w:t>(</w:t>
      </w:r>
      <w:r>
        <w:rPr>
          <w:rFonts w:hint="eastAsia" w:ascii="宋体" w:hAnsi="宋体" w:cs="宋体"/>
          <w:sz w:val="24"/>
          <w:highlight w:val="none"/>
          <w:u w:val="single"/>
        </w:rPr>
        <w:t>大写：</w:t>
      </w:r>
      <w:r>
        <w:rPr>
          <w:rFonts w:hint="eastAsia" w:ascii="宋体" w:hAnsi="宋体" w:cs="宋体"/>
          <w:sz w:val="24"/>
          <w:highlight w:val="none"/>
          <w:u w:val="single"/>
          <w:lang w:eastAsia="zh-CN"/>
        </w:rPr>
        <w:t>…</w:t>
      </w:r>
      <w:r>
        <w:rPr>
          <w:rFonts w:ascii="宋体" w:hAnsi="宋体" w:cs="宋体"/>
          <w:sz w:val="24"/>
          <w:highlight w:val="none"/>
          <w:u w:val="single"/>
        </w:rPr>
        <w:t>)</w:t>
      </w:r>
      <w:r>
        <w:rPr>
          <w:rFonts w:hint="eastAsia" w:ascii="宋体" w:hAnsi="宋体" w:cs="宋体"/>
          <w:sz w:val="24"/>
          <w:highlight w:val="none"/>
        </w:rPr>
        <w:t>。</w:t>
      </w:r>
    </w:p>
    <w:p>
      <w:pPr>
        <w:ind w:firstLine="480" w:firstLineChars="200"/>
        <w:rPr>
          <w:rFonts w:hint="eastAsia" w:ascii="宋体" w:hAnsi="宋体" w:eastAsia="宋体" w:cs="宋体"/>
          <w:sz w:val="24"/>
          <w:szCs w:val="24"/>
          <w:highlight w:val="none"/>
          <w:lang w:val="en-US" w:eastAsia="zh-CN"/>
        </w:rPr>
      </w:pPr>
      <w:r>
        <w:rPr>
          <w:rFonts w:hint="eastAsia" w:ascii="宋体" w:hAnsi="宋体" w:cs="宋体"/>
          <w:sz w:val="24"/>
          <w:highlight w:val="none"/>
        </w:rPr>
        <w:t>合同单价在合同有效期内为不变价。乙方已经充分考虑本合同履行期间的市场风险和国家政策性调整风险系数并已计入报价，因此合同单价在合同有效期内不因任何因素而作调整。</w:t>
      </w:r>
    </w:p>
    <w:p>
      <w:pPr>
        <w:autoSpaceDE w:val="0"/>
        <w:autoSpaceDN w:val="0"/>
        <w:adjustRightInd w:val="0"/>
        <w:spacing w:line="384" w:lineRule="auto"/>
        <w:ind w:firstLine="480" w:firstLineChars="200"/>
        <w:rPr>
          <w:rFonts w:ascii="宋体" w:hAnsi="宋体" w:cs="宋体"/>
          <w:sz w:val="24"/>
          <w:highlight w:val="none"/>
        </w:rPr>
      </w:pPr>
    </w:p>
    <w:p>
      <w:pPr>
        <w:spacing w:line="384" w:lineRule="auto"/>
        <w:ind w:firstLine="480" w:firstLineChars="200"/>
        <w:rPr>
          <w:rFonts w:ascii="宋体" w:hAnsi="宋体" w:cs="宋体"/>
          <w:sz w:val="24"/>
          <w:highlight w:val="none"/>
        </w:rPr>
      </w:pPr>
      <w:r>
        <w:rPr>
          <w:rFonts w:hint="eastAsia" w:ascii="宋体" w:hAnsi="宋体" w:cs="宋体"/>
          <w:bCs/>
          <w:sz w:val="24"/>
          <w:highlight w:val="none"/>
        </w:rPr>
        <w:t>（</w:t>
      </w:r>
      <w:r>
        <w:rPr>
          <w:rFonts w:ascii="宋体" w:hAnsi="宋体" w:cs="宋体"/>
          <w:bCs/>
          <w:sz w:val="24"/>
          <w:highlight w:val="none"/>
        </w:rPr>
        <w:t>2</w:t>
      </w:r>
      <w:r>
        <w:rPr>
          <w:rFonts w:hint="eastAsia" w:ascii="宋体" w:hAnsi="宋体" w:cs="宋体"/>
          <w:bCs/>
          <w:sz w:val="24"/>
          <w:highlight w:val="none"/>
        </w:rPr>
        <w:t>）</w:t>
      </w:r>
      <w:r>
        <w:rPr>
          <w:rFonts w:hint="eastAsia" w:ascii="宋体" w:hAnsi="宋体" w:cs="宋体"/>
          <w:sz w:val="24"/>
          <w:highlight w:val="none"/>
        </w:rPr>
        <w:t>合同以总价包干形式，合同暂定总价为：</w:t>
      </w:r>
      <w:r>
        <w:rPr>
          <w:rFonts w:hint="eastAsia" w:ascii="宋体" w:hAnsi="宋体" w:cs="宋体"/>
          <w:b/>
          <w:sz w:val="24"/>
          <w:highlight w:val="none"/>
          <w:u w:val="single"/>
        </w:rPr>
        <w:t>人民币</w:t>
      </w:r>
      <w:r>
        <w:rPr>
          <w:rFonts w:hint="eastAsia" w:ascii="宋体" w:hAnsi="宋体" w:cs="宋体"/>
          <w:b/>
          <w:sz w:val="24"/>
          <w:highlight w:val="none"/>
          <w:u w:val="single"/>
          <w:lang w:eastAsia="zh-CN"/>
        </w:rPr>
        <w:t>…</w:t>
      </w:r>
      <w:r>
        <w:rPr>
          <w:rFonts w:hint="eastAsia" w:ascii="宋体" w:hAnsi="宋体" w:cs="宋体"/>
          <w:b/>
          <w:sz w:val="24"/>
          <w:highlight w:val="none"/>
          <w:u w:val="single"/>
        </w:rPr>
        <w:t>元</w:t>
      </w:r>
      <w:r>
        <w:rPr>
          <w:rFonts w:hint="eastAsia" w:ascii="宋体" w:hAnsi="宋体" w:cs="宋体"/>
          <w:sz w:val="24"/>
          <w:highlight w:val="none"/>
        </w:rPr>
        <w:t>（大写</w:t>
      </w:r>
      <w:r>
        <w:rPr>
          <w:rFonts w:ascii="宋体" w:hAnsi="宋体" w:cs="宋体"/>
          <w:sz w:val="24"/>
          <w:highlight w:val="none"/>
        </w:rPr>
        <w:t>:</w:t>
      </w:r>
      <w:r>
        <w:rPr>
          <w:rFonts w:hint="eastAsia" w:ascii="宋体" w:hAnsi="宋体" w:cs="宋体"/>
          <w:sz w:val="24"/>
          <w:highlight w:val="none"/>
          <w:lang w:eastAsia="zh-CN"/>
        </w:rPr>
        <w:t>…</w:t>
      </w:r>
      <w:r>
        <w:rPr>
          <w:rFonts w:hint="eastAsia" w:ascii="宋体" w:hAnsi="宋体" w:cs="宋体"/>
          <w:sz w:val="24"/>
          <w:highlight w:val="none"/>
        </w:rPr>
        <w:t>）。经甲方或甲方委托有资质第三方机构审核后，若结算审核价比合同暂定总价低，则以结算审核价作为合同结算价，否则以合同暂定总价为合同结算价。</w:t>
      </w:r>
    </w:p>
    <w:p>
      <w:pPr>
        <w:tabs>
          <w:tab w:val="left" w:pos="851"/>
        </w:tabs>
        <w:adjustRightInd w:val="0"/>
        <w:snapToGrid w:val="0"/>
        <w:spacing w:line="384" w:lineRule="auto"/>
        <w:ind w:firstLine="480" w:firstLineChars="200"/>
        <w:rPr>
          <w:rFonts w:hint="eastAsia" w:ascii="宋体" w:hAnsi="宋体" w:cs="宋体"/>
          <w:sz w:val="24"/>
          <w:highlight w:val="none"/>
        </w:rPr>
      </w:pPr>
      <w:r>
        <w:rPr>
          <w:rFonts w:ascii="宋体" w:hAnsi="宋体" w:cs="宋体"/>
          <w:kern w:val="0"/>
          <w:sz w:val="24"/>
          <w:highlight w:val="none"/>
          <w:lang w:val="zh-CN"/>
        </w:rPr>
        <w:t>4.2</w:t>
      </w:r>
      <w:r>
        <w:rPr>
          <w:rFonts w:hint="eastAsia" w:ascii="宋体" w:hAnsi="宋体" w:cs="宋体"/>
          <w:kern w:val="0"/>
          <w:sz w:val="24"/>
          <w:highlight w:val="none"/>
        </w:rPr>
        <w:t>本合同约定的价格为含税价价格</w:t>
      </w:r>
      <w:r>
        <w:rPr>
          <w:rFonts w:hint="eastAsia" w:ascii="宋体" w:hAnsi="宋体" w:cs="宋体"/>
          <w:sz w:val="24"/>
          <w:highlight w:val="none"/>
        </w:rPr>
        <w:t>（税率</w:t>
      </w:r>
      <w:r>
        <w:rPr>
          <w:rFonts w:ascii="宋体" w:hAnsi="宋体" w:cs="宋体"/>
          <w:sz w:val="24"/>
          <w:highlight w:val="none"/>
          <w:u w:val="single"/>
        </w:rPr>
        <w:t xml:space="preserve">  </w:t>
      </w:r>
      <w:r>
        <w:rPr>
          <w:rFonts w:hint="eastAsia" w:ascii="宋体" w:hAnsi="宋体" w:cs="宋体"/>
          <w:sz w:val="24"/>
          <w:highlight w:val="none"/>
          <w:u w:val="single"/>
          <w:lang w:val="en-US" w:eastAsia="zh-CN"/>
        </w:rPr>
        <w:t>9</w:t>
      </w:r>
      <w:r>
        <w:rPr>
          <w:rFonts w:ascii="宋体" w:hAnsi="宋体" w:cs="宋体"/>
          <w:sz w:val="24"/>
          <w:highlight w:val="none"/>
          <w:u w:val="single"/>
        </w:rPr>
        <w:t xml:space="preserve">  %</w:t>
      </w:r>
      <w:r>
        <w:rPr>
          <w:rFonts w:hint="eastAsia" w:ascii="宋体" w:hAnsi="宋体" w:cs="宋体"/>
          <w:sz w:val="24"/>
          <w:highlight w:val="none"/>
        </w:rPr>
        <w:t>），合同履行期间国家税率调整或乙方开票的实际税率与前述税率不一致的，不含税价不变，价税合计按实际税率相应调整，以开具发票时间为准。</w:t>
      </w:r>
    </w:p>
    <w:p>
      <w:pPr>
        <w:tabs>
          <w:tab w:val="left" w:pos="0"/>
        </w:tabs>
        <w:adjustRightInd w:val="0"/>
        <w:snapToGrid w:val="0"/>
        <w:spacing w:line="360" w:lineRule="auto"/>
        <w:ind w:firstLine="480" w:firstLineChars="200"/>
        <w:jc w:val="left"/>
        <w:rPr>
          <w:rFonts w:hint="eastAsia" w:ascii="宋体" w:hAnsi="宋体" w:eastAsia="宋体" w:cs="宋体"/>
          <w:bCs/>
          <w:sz w:val="24"/>
          <w:szCs w:val="24"/>
          <w:highlight w:val="none"/>
          <w:lang w:val="en-US" w:eastAsia="zh-CN"/>
        </w:rPr>
      </w:pPr>
      <w:r>
        <w:rPr>
          <w:rFonts w:hint="eastAsia" w:ascii="宋体" w:hAnsi="宋体" w:cs="宋体"/>
          <w:bCs/>
          <w:sz w:val="24"/>
          <w:szCs w:val="24"/>
          <w:highlight w:val="none"/>
          <w:lang w:val="en-US" w:eastAsia="zh-CN"/>
        </w:rPr>
        <w:t>4.3</w:t>
      </w:r>
      <w:r>
        <w:rPr>
          <w:rFonts w:hint="eastAsia" w:ascii="宋体" w:hAnsi="宋体" w:eastAsia="宋体" w:cs="宋体"/>
          <w:bCs/>
          <w:sz w:val="24"/>
          <w:szCs w:val="24"/>
          <w:highlight w:val="none"/>
          <w:lang w:val="en-US" w:eastAsia="zh-CN"/>
        </w:rPr>
        <w:t>因非甲方原因引起工程量报价清单中工程量发生增减，且单个子目工程量变化幅度在5%以内（含）时，按工程量报价清单中列明的子目单价结算。否则，按新增单价执行。</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4.4</w:t>
      </w:r>
      <w:r>
        <w:rPr>
          <w:rFonts w:hint="eastAsia" w:ascii="宋体" w:hAnsi="宋体" w:eastAsia="宋体" w:cs="宋体"/>
          <w:sz w:val="24"/>
          <w:szCs w:val="24"/>
          <w:highlight w:val="none"/>
        </w:rPr>
        <w:t>合同中没有适用于变更工程项目的单价的，</w:t>
      </w:r>
      <w:r>
        <w:rPr>
          <w:rFonts w:hint="eastAsia" w:ascii="宋体" w:hAnsi="宋体" w:eastAsia="宋体" w:cs="宋体"/>
          <w:sz w:val="24"/>
          <w:szCs w:val="24"/>
          <w:highlight w:val="none"/>
          <w:lang w:val="en-US" w:eastAsia="zh-CN"/>
        </w:rPr>
        <w:t>按新增单价执行。</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新增单价计价原则：</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执行《建设工程工程量清单计价规范》（GB50500-2013）及相应的各清单专业的国标工程量计算规范，套用《广东省建设工程计价依据（2018）》、《广东省房屋建筑和市政修缮工程综合定额（2012）》或其他由建设、造价主管部门发布的工程承包合同签订时广州地区适用的定额进行组价。</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项目计价材料、设备价格的控制</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按以下顺序作为降序优先级依次采用工程开工报告中开工日期当月的下列价格</w:t>
      </w:r>
      <w:r>
        <w:rPr>
          <w:rFonts w:hint="eastAsia" w:ascii="宋体" w:hAnsi="宋体" w:eastAsia="宋体" w:cs="宋体"/>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（1）《广州地区建设工程常用材料税前综合价格》（下称综合价格）。</w:t>
      </w: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（2）《广州地区建设工程材料（设备）厂商价格信息》（下称厂商价格）下浮10-20%。</w:t>
      </w: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（3）综合价格、厂商价格中缺项的，采用由北京瑞恒达建筑咨询有限公司提供服务的“慧讯网”中查到的相应材料、设备价格的工程价。</w:t>
      </w:r>
    </w:p>
    <w:p>
      <w:pPr>
        <w:pStyle w:val="46"/>
        <w:rPr>
          <w:rFonts w:hint="default" w:eastAsia="宋体"/>
          <w:lang w:val="en-US" w:eastAsia="zh-CN"/>
        </w:rPr>
      </w:pPr>
      <w:r>
        <w:rPr>
          <w:rFonts w:hint="eastAsia" w:hAnsi="宋体" w:eastAsia="宋体" w:cs="宋体"/>
          <w:sz w:val="24"/>
          <w:szCs w:val="24"/>
          <w:highlight w:val="none"/>
          <w:lang w:val="en-US" w:eastAsia="zh-CN"/>
        </w:rPr>
        <w:t xml:space="preserve">  </w:t>
      </w:r>
      <w:r>
        <w:rPr>
          <w:rFonts w:ascii="宋体" w:hAnsi="宋体" w:eastAsia="宋体" w:cs="宋体"/>
          <w:sz w:val="24"/>
          <w:szCs w:val="24"/>
        </w:rPr>
        <w:t>（4）通过市场询价双方协商确定。</w:t>
      </w: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  3.按1、2组价后下浮5%计取。</w:t>
      </w:r>
    </w:p>
    <w:p>
      <w:pPr>
        <w:tabs>
          <w:tab w:val="left" w:pos="851"/>
        </w:tabs>
        <w:adjustRightInd w:val="0"/>
        <w:snapToGrid w:val="0"/>
        <w:spacing w:line="384" w:lineRule="auto"/>
        <w:ind w:firstLine="480" w:firstLineChars="200"/>
        <w:rPr>
          <w:rFonts w:hint="eastAsia" w:ascii="宋体" w:hAnsi="宋体" w:cs="宋体"/>
          <w:sz w:val="24"/>
        </w:rPr>
      </w:pPr>
    </w:p>
    <w:p>
      <w:pPr>
        <w:widowControl/>
        <w:tabs>
          <w:tab w:val="left" w:pos="851"/>
        </w:tabs>
        <w:adjustRightInd w:val="0"/>
        <w:snapToGrid w:val="0"/>
        <w:spacing w:line="384" w:lineRule="auto"/>
        <w:ind w:firstLine="482" w:firstLineChars="200"/>
        <w:jc w:val="left"/>
        <w:rPr>
          <w:rFonts w:ascii="宋体" w:hAnsi="宋体" w:cs="宋体"/>
          <w:b/>
          <w:bCs/>
          <w:sz w:val="24"/>
        </w:rPr>
      </w:pPr>
      <w:r>
        <w:rPr>
          <w:rFonts w:hint="eastAsia" w:ascii="宋体" w:hAnsi="宋体" w:cs="宋体"/>
          <w:b/>
          <w:bCs/>
          <w:sz w:val="24"/>
        </w:rPr>
        <w:t>第五条工期及要求</w:t>
      </w:r>
    </w:p>
    <w:p>
      <w:pPr>
        <w:widowControl/>
        <w:spacing w:line="384" w:lineRule="auto"/>
        <w:ind w:firstLine="480" w:firstLineChars="200"/>
        <w:jc w:val="left"/>
        <w:rPr>
          <w:rFonts w:ascii="宋体" w:hAnsi="宋体" w:cs="宋体"/>
          <w:sz w:val="24"/>
        </w:rPr>
      </w:pPr>
      <w:r>
        <w:rPr>
          <w:rFonts w:ascii="宋体" w:hAnsi="宋体" w:cs="宋体"/>
          <w:sz w:val="24"/>
        </w:rPr>
        <w:t>5.1</w:t>
      </w:r>
      <w:r>
        <w:rPr>
          <w:rFonts w:hint="eastAsia" w:ascii="宋体" w:hAnsi="宋体" w:cs="宋体"/>
          <w:sz w:val="24"/>
        </w:rPr>
        <w:t>开工日期暂定为：</w:t>
      </w:r>
      <w:r>
        <w:rPr>
          <w:rFonts w:hint="eastAsia" w:ascii="宋体" w:hAnsi="宋体" w:cs="宋体"/>
          <w:sz w:val="24"/>
          <w:u w:val="single"/>
          <w:lang w:val="en-US" w:eastAsia="zh-CN"/>
        </w:rPr>
        <w:t>2024</w:t>
      </w:r>
      <w:r>
        <w:rPr>
          <w:rFonts w:hint="eastAsia" w:ascii="宋体" w:hAnsi="宋体" w:cs="宋体"/>
          <w:sz w:val="24"/>
          <w:u w:val="single"/>
        </w:rPr>
        <w:t>年</w:t>
      </w:r>
      <w:r>
        <w:rPr>
          <w:rFonts w:hint="eastAsia" w:ascii="宋体" w:hAnsi="宋体" w:cs="宋体"/>
          <w:sz w:val="24"/>
          <w:u w:val="single"/>
          <w:lang w:eastAsia="zh-CN"/>
        </w:rPr>
        <w:t>…</w:t>
      </w:r>
      <w:r>
        <w:rPr>
          <w:rFonts w:hint="eastAsia" w:ascii="宋体" w:hAnsi="宋体" w:cs="宋体"/>
          <w:sz w:val="24"/>
          <w:u w:val="single"/>
        </w:rPr>
        <w:t>月</w:t>
      </w:r>
      <w:r>
        <w:rPr>
          <w:rFonts w:hint="eastAsia" w:ascii="宋体" w:hAnsi="宋体" w:cs="宋体"/>
          <w:sz w:val="24"/>
          <w:u w:val="single"/>
          <w:lang w:eastAsia="zh-CN"/>
        </w:rPr>
        <w:t>…</w:t>
      </w:r>
      <w:r>
        <w:rPr>
          <w:rFonts w:hint="eastAsia" w:ascii="宋体" w:hAnsi="宋体" w:cs="宋体"/>
          <w:sz w:val="24"/>
          <w:u w:val="single"/>
        </w:rPr>
        <w:t>日</w:t>
      </w:r>
      <w:r>
        <w:rPr>
          <w:rFonts w:hint="eastAsia" w:ascii="宋体" w:hAnsi="宋体" w:cs="宋体"/>
          <w:sz w:val="24"/>
        </w:rPr>
        <w:t>，具体日期以甲方发出的开工报告</w:t>
      </w:r>
      <w:r>
        <w:rPr>
          <w:rFonts w:ascii="宋体" w:hAnsi="宋体" w:cs="宋体"/>
          <w:sz w:val="24"/>
        </w:rPr>
        <w:t>/</w:t>
      </w:r>
      <w:r>
        <w:rPr>
          <w:rFonts w:hint="eastAsia" w:ascii="宋体" w:hAnsi="宋体" w:cs="宋体"/>
          <w:sz w:val="24"/>
        </w:rPr>
        <w:t>通知为准。乙方不能按时开工，应当于开工报告</w:t>
      </w:r>
      <w:r>
        <w:rPr>
          <w:rFonts w:ascii="宋体" w:hAnsi="宋体" w:cs="宋体"/>
          <w:sz w:val="24"/>
        </w:rPr>
        <w:t>/</w:t>
      </w:r>
      <w:r>
        <w:rPr>
          <w:rFonts w:hint="eastAsia" w:ascii="宋体" w:hAnsi="宋体" w:cs="宋体"/>
          <w:sz w:val="24"/>
        </w:rPr>
        <w:t>通知载明的开工日期</w:t>
      </w:r>
      <w:r>
        <w:rPr>
          <w:rFonts w:ascii="宋体" w:hAnsi="宋体" w:cs="宋体"/>
          <w:sz w:val="24"/>
        </w:rPr>
        <w:t>7</w:t>
      </w:r>
      <w:r>
        <w:rPr>
          <w:rFonts w:hint="eastAsia" w:ascii="宋体" w:hAnsi="宋体" w:cs="宋体"/>
          <w:sz w:val="24"/>
        </w:rPr>
        <w:t>天前，以书面形式向甲方提出延期开工的理由。甲方应当在接到延期开工申请后的</w:t>
      </w:r>
      <w:r>
        <w:rPr>
          <w:rFonts w:ascii="宋体" w:hAnsi="宋体" w:cs="宋体"/>
          <w:sz w:val="24"/>
        </w:rPr>
        <w:t>48</w:t>
      </w:r>
      <w:r>
        <w:rPr>
          <w:rFonts w:hint="eastAsia" w:ascii="宋体" w:hAnsi="宋体" w:cs="宋体"/>
          <w:sz w:val="24"/>
        </w:rPr>
        <w:t>小时内以书面形式答复乙方。甲方在接到延期开工申请后</w:t>
      </w:r>
      <w:r>
        <w:rPr>
          <w:rFonts w:ascii="宋体" w:hAnsi="宋体" w:cs="宋体"/>
          <w:sz w:val="24"/>
        </w:rPr>
        <w:t>48</w:t>
      </w:r>
      <w:r>
        <w:rPr>
          <w:rFonts w:hint="eastAsia" w:ascii="宋体" w:hAnsi="宋体" w:cs="宋体"/>
          <w:sz w:val="24"/>
        </w:rPr>
        <w:t>小时内不答复，视为同意乙方要求，工期相应顺延。甲方不同意延期要求或乙方未在规定时间内提出延期开工，工期不予顺延。合同工期总日历天数天。乙方未能按合同工期竣工验收的，每逾期一天，甲方有权要求乙方按</w:t>
      </w:r>
      <w:r>
        <w:rPr>
          <w:rFonts w:hint="eastAsia" w:ascii="宋体" w:hAnsi="宋体" w:cs="宋体"/>
          <w:sz w:val="24"/>
          <w:u w:val="single"/>
        </w:rPr>
        <w:t>合同暂定总价的</w:t>
      </w:r>
      <w:r>
        <w:rPr>
          <w:rFonts w:ascii="宋体" w:hAnsi="宋体" w:cs="宋体"/>
          <w:sz w:val="24"/>
          <w:u w:val="single"/>
        </w:rPr>
        <w:t xml:space="preserve"> 1%</w:t>
      </w:r>
      <w:r>
        <w:rPr>
          <w:rFonts w:hint="eastAsia" w:ascii="宋体" w:hAnsi="宋体" w:cs="宋体"/>
          <w:sz w:val="24"/>
        </w:rPr>
        <w:t>支付违约金，逾期达到</w:t>
      </w:r>
      <w:r>
        <w:rPr>
          <w:rFonts w:hint="eastAsia" w:ascii="宋体" w:hAnsi="宋体" w:cs="宋体"/>
          <w:sz w:val="24"/>
          <w:u w:val="single"/>
          <w:lang w:val="en-US" w:eastAsia="zh-CN"/>
        </w:rPr>
        <w:t xml:space="preserve">  15 </w:t>
      </w:r>
      <w:r>
        <w:rPr>
          <w:rFonts w:hint="eastAsia" w:ascii="宋体" w:hAnsi="宋体" w:cs="宋体"/>
          <w:sz w:val="24"/>
        </w:rPr>
        <w:t>天及以上的，甲方有权解除合同并要求乙方支付</w:t>
      </w:r>
      <w:r>
        <w:rPr>
          <w:rFonts w:hint="eastAsia" w:ascii="宋体" w:hAnsi="宋体" w:cs="宋体"/>
          <w:sz w:val="24"/>
          <w:u w:val="single"/>
        </w:rPr>
        <w:t>合同暂定总价的</w:t>
      </w:r>
      <w:r>
        <w:rPr>
          <w:rFonts w:ascii="宋体" w:hAnsi="宋体" w:cs="宋体"/>
          <w:sz w:val="24"/>
          <w:u w:val="single"/>
        </w:rPr>
        <w:t>20%</w:t>
      </w:r>
      <w:r>
        <w:rPr>
          <w:rFonts w:ascii="宋体" w:hAnsi="宋体" w:cs="宋体"/>
          <w:sz w:val="24"/>
        </w:rPr>
        <w:t>作为违约金。</w:t>
      </w:r>
    </w:p>
    <w:p>
      <w:pPr>
        <w:widowControl/>
        <w:spacing w:line="384" w:lineRule="auto"/>
        <w:ind w:firstLine="480" w:firstLineChars="200"/>
        <w:jc w:val="left"/>
        <w:rPr>
          <w:rFonts w:ascii="宋体" w:hAnsi="宋体" w:cs="宋体"/>
          <w:bCs/>
          <w:sz w:val="24"/>
        </w:rPr>
      </w:pPr>
      <w:r>
        <w:rPr>
          <w:rFonts w:ascii="宋体" w:hAnsi="宋体" w:cs="宋体"/>
          <w:bCs/>
          <w:sz w:val="24"/>
        </w:rPr>
        <w:t>5.2</w:t>
      </w:r>
      <w:r>
        <w:rPr>
          <w:rFonts w:hint="eastAsia" w:ascii="宋体" w:hAnsi="宋体" w:cs="宋体"/>
          <w:bCs/>
          <w:sz w:val="24"/>
        </w:rPr>
        <w:t>乙方在施工期间应严格遵守《中华人民共和国安全生产法》、《建设工程安全生产管理条例》等法律法规以及文明施工、深夜施工、环卫和城管等规定，建立规章制度和防护措施并向甲方报备。如甲方或相关职能部门在施工过程中发现安全问题或者发出整改通知书，乙方应立即停工整改。如果逾期不整改或者整改不符合合同约定，甲方有权要求乙方支付</w:t>
      </w:r>
      <w:r>
        <w:rPr>
          <w:rFonts w:hint="eastAsia" w:ascii="宋体" w:hAnsi="宋体" w:cs="宋体"/>
          <w:bCs/>
          <w:sz w:val="24"/>
          <w:u w:val="single"/>
        </w:rPr>
        <w:t>合同暂定总价的</w:t>
      </w:r>
      <w:r>
        <w:rPr>
          <w:rFonts w:ascii="宋体" w:hAnsi="宋体" w:cs="宋体"/>
          <w:bCs/>
          <w:sz w:val="24"/>
          <w:u w:val="single"/>
        </w:rPr>
        <w:t>5%/</w:t>
      </w:r>
      <w:r>
        <w:rPr>
          <w:rFonts w:hint="eastAsia" w:ascii="宋体" w:hAnsi="宋体" w:cs="宋体"/>
          <w:bCs/>
          <w:sz w:val="24"/>
          <w:u w:val="single"/>
        </w:rPr>
        <w:t>次</w:t>
      </w:r>
      <w:r>
        <w:rPr>
          <w:rFonts w:hint="eastAsia" w:ascii="宋体" w:hAnsi="宋体" w:cs="宋体"/>
          <w:bCs/>
          <w:sz w:val="24"/>
        </w:rPr>
        <w:t>作为违约金，超过三次（含三次）的，甲方有权解除合同，要求乙方支付</w:t>
      </w:r>
      <w:r>
        <w:rPr>
          <w:rFonts w:hint="eastAsia" w:ascii="宋体" w:hAnsi="宋体" w:cs="宋体"/>
          <w:bCs/>
          <w:sz w:val="24"/>
          <w:u w:val="single"/>
        </w:rPr>
        <w:t>合同暂定总价的</w:t>
      </w:r>
      <w:r>
        <w:rPr>
          <w:rFonts w:ascii="宋体" w:hAnsi="宋体" w:cs="宋体"/>
          <w:bCs/>
          <w:sz w:val="24"/>
          <w:u w:val="single"/>
        </w:rPr>
        <w:t>20%</w:t>
      </w:r>
      <w:r>
        <w:rPr>
          <w:rFonts w:hint="eastAsia" w:ascii="宋体" w:hAnsi="宋体" w:cs="宋体"/>
          <w:bCs/>
          <w:sz w:val="24"/>
        </w:rPr>
        <w:t>作为违约金。由此造成的经济和法律责任，均由乙方负责。</w:t>
      </w:r>
    </w:p>
    <w:p>
      <w:pPr>
        <w:widowControl/>
        <w:spacing w:line="384" w:lineRule="auto"/>
        <w:ind w:left="1" w:firstLine="480" w:firstLineChars="200"/>
        <w:jc w:val="left"/>
        <w:rPr>
          <w:rFonts w:ascii="宋体" w:hAnsi="宋体" w:cs="宋体"/>
          <w:bCs/>
          <w:sz w:val="24"/>
        </w:rPr>
      </w:pPr>
      <w:r>
        <w:rPr>
          <w:rFonts w:ascii="宋体" w:hAnsi="宋体" w:cs="宋体"/>
          <w:bCs/>
          <w:sz w:val="24"/>
        </w:rPr>
        <w:t>5.3</w:t>
      </w:r>
      <w:r>
        <w:rPr>
          <w:rFonts w:hint="eastAsia" w:ascii="宋体" w:hAnsi="宋体" w:cs="宋体"/>
          <w:bCs/>
          <w:sz w:val="24"/>
        </w:rPr>
        <w:t>乙方应按合同及甲方提供的技术文件要求进行本项目实施和安装。乙方未经甲方同意，不得将本项目图纸泄露或转给第三人。除乙方存档需要的图纸外，乙方应于项目质量保修期满后日内将全部图纸退还给甲方。</w:t>
      </w:r>
    </w:p>
    <w:p>
      <w:pPr>
        <w:widowControl/>
        <w:spacing w:line="384" w:lineRule="auto"/>
        <w:ind w:left="1" w:firstLine="480" w:firstLineChars="200"/>
        <w:jc w:val="left"/>
        <w:rPr>
          <w:rFonts w:ascii="宋体" w:hAnsi="宋体" w:cs="宋体"/>
          <w:bCs/>
          <w:sz w:val="24"/>
        </w:rPr>
      </w:pPr>
      <w:r>
        <w:rPr>
          <w:rFonts w:ascii="宋体" w:hAnsi="宋体" w:cs="宋体"/>
          <w:bCs/>
          <w:sz w:val="24"/>
        </w:rPr>
        <w:t>5.4</w:t>
      </w:r>
      <w:r>
        <w:rPr>
          <w:rFonts w:hint="eastAsia" w:ascii="宋体" w:hAnsi="宋体" w:cs="宋体"/>
          <w:bCs/>
          <w:sz w:val="24"/>
        </w:rPr>
        <w:t>合同约定的项目，乙方不得转包、分包。否则，甲方有权单方面终止合同，并令其立即退场，由此而造成的经济损失由乙方负责赔偿。</w:t>
      </w:r>
    </w:p>
    <w:p>
      <w:pPr>
        <w:widowControl/>
        <w:spacing w:line="384" w:lineRule="auto"/>
        <w:ind w:left="1" w:firstLine="480" w:firstLineChars="200"/>
        <w:jc w:val="left"/>
        <w:rPr>
          <w:rFonts w:ascii="宋体" w:hAnsi="宋体" w:cs="宋体"/>
          <w:bCs/>
          <w:sz w:val="24"/>
        </w:rPr>
      </w:pPr>
      <w:r>
        <w:rPr>
          <w:rFonts w:ascii="宋体" w:hAnsi="宋体" w:cs="宋体"/>
          <w:bCs/>
          <w:sz w:val="24"/>
        </w:rPr>
        <w:t>5.5乙方不履行合同义务、或履行合同义务不符合合同约定、或违反国家、省、市行业标准的，甲方有权要求乙方限期整改。乙方逾期未完成整改的，每项每超过1日支付违约金人民币</w:t>
      </w:r>
      <w:r>
        <w:rPr>
          <w:rFonts w:ascii="宋体" w:hAnsi="宋体" w:cs="宋体"/>
          <w:bCs/>
          <w:sz w:val="24"/>
          <w:u w:val="single"/>
        </w:rPr>
        <w:t>1万元</w:t>
      </w:r>
      <w:r>
        <w:rPr>
          <w:rFonts w:ascii="宋体" w:hAnsi="宋体" w:cs="宋体"/>
          <w:bCs/>
          <w:sz w:val="24"/>
        </w:rPr>
        <w:t>，超过_</w:t>
      </w:r>
      <w:r>
        <w:rPr>
          <w:rFonts w:hint="eastAsia" w:ascii="宋体" w:hAnsi="宋体" w:cs="宋体"/>
          <w:bCs/>
          <w:sz w:val="24"/>
          <w:u w:val="single"/>
          <w:lang w:val="en-US" w:eastAsia="zh-CN"/>
        </w:rPr>
        <w:t>15</w:t>
      </w:r>
      <w:r>
        <w:rPr>
          <w:rFonts w:ascii="宋体" w:hAnsi="宋体" w:cs="宋体"/>
          <w:bCs/>
          <w:sz w:val="24"/>
        </w:rPr>
        <w:t>_日，甲方有权解除合同并要求乙方支付</w:t>
      </w:r>
      <w:r>
        <w:rPr>
          <w:rFonts w:ascii="宋体" w:hAnsi="宋体" w:cs="宋体"/>
          <w:bCs/>
          <w:sz w:val="24"/>
          <w:u w:val="single"/>
        </w:rPr>
        <w:t>合同暂定总价的20%</w:t>
      </w:r>
      <w:r>
        <w:rPr>
          <w:rFonts w:ascii="宋体" w:hAnsi="宋体" w:cs="宋体"/>
          <w:bCs/>
          <w:sz w:val="24"/>
        </w:rPr>
        <w:t>作为违约金</w:t>
      </w:r>
      <w:r>
        <w:rPr>
          <w:rFonts w:hint="eastAsia" w:asciiTheme="minorEastAsia" w:hAnsiTheme="minorEastAsia" w:eastAsiaTheme="minorEastAsia"/>
          <w:bCs/>
          <w:sz w:val="24"/>
        </w:rPr>
        <w:t>（</w:t>
      </w:r>
      <w:r>
        <w:rPr>
          <w:rFonts w:hint="eastAsia" w:cs="宋体"/>
          <w:sz w:val="24"/>
        </w:rPr>
        <w:t>如合同另行约定违约责任，从其约定</w:t>
      </w:r>
      <w:r>
        <w:rPr>
          <w:rFonts w:hint="eastAsia" w:asciiTheme="minorEastAsia" w:hAnsiTheme="minorEastAsia" w:eastAsiaTheme="minorEastAsia"/>
          <w:bCs/>
          <w:sz w:val="24"/>
        </w:rPr>
        <w:t>）</w:t>
      </w:r>
      <w:r>
        <w:rPr>
          <w:rFonts w:ascii="宋体" w:hAnsi="宋体" w:cs="宋体"/>
          <w:bCs/>
          <w:sz w:val="24"/>
        </w:rPr>
        <w:t>。</w:t>
      </w:r>
    </w:p>
    <w:p>
      <w:pPr>
        <w:topLinePunct/>
        <w:spacing w:line="50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5.6乙方不得随意更换项目负责人及</w:t>
      </w:r>
      <w:r>
        <w:rPr>
          <w:rFonts w:hint="eastAsia" w:asciiTheme="minorEastAsia" w:hAnsiTheme="minorEastAsia" w:eastAsiaTheme="minorEastAsia" w:cstheme="minorEastAsia"/>
          <w:sz w:val="24"/>
          <w:szCs w:val="24"/>
          <w:lang w:val="en-US" w:eastAsia="zh-CN"/>
        </w:rPr>
        <w:t>附件6中的</w:t>
      </w:r>
      <w:r>
        <w:rPr>
          <w:rFonts w:hint="eastAsia" w:asciiTheme="minorEastAsia" w:hAnsiTheme="minorEastAsia" w:eastAsiaTheme="minorEastAsia" w:cstheme="minorEastAsia"/>
          <w:sz w:val="24"/>
          <w:szCs w:val="24"/>
        </w:rPr>
        <w:t>相关人员，如确须更换，应提前征得甲方同意。如有违反，甲方有权解除合同并要求乙方支付</w:t>
      </w:r>
      <w:r>
        <w:rPr>
          <w:rFonts w:hint="eastAsia" w:asciiTheme="minorEastAsia" w:hAnsiTheme="minorEastAsia" w:eastAsiaTheme="minorEastAsia" w:cstheme="minorEastAsia"/>
          <w:sz w:val="24"/>
          <w:szCs w:val="24"/>
          <w:u w:val="single"/>
          <w:lang w:val="en-US" w:eastAsia="zh-CN"/>
        </w:rPr>
        <w:t>5000</w:t>
      </w:r>
      <w:r>
        <w:rPr>
          <w:rFonts w:hint="eastAsia" w:asciiTheme="minorEastAsia" w:hAnsiTheme="minorEastAsia" w:eastAsiaTheme="minorEastAsia" w:cstheme="minorEastAsia"/>
          <w:sz w:val="24"/>
          <w:szCs w:val="24"/>
          <w:u w:val="single"/>
        </w:rPr>
        <w:t>元/人次</w:t>
      </w:r>
      <w:r>
        <w:rPr>
          <w:rFonts w:hint="eastAsia" w:asciiTheme="minorEastAsia" w:hAnsiTheme="minorEastAsia" w:eastAsiaTheme="minorEastAsia" w:cstheme="minorEastAsia"/>
          <w:sz w:val="24"/>
          <w:szCs w:val="24"/>
        </w:rPr>
        <w:t>作为违约金，以及赔偿由此造成的一切损失(包含质量安全事故、工期延误、增加投资等)。</w:t>
      </w:r>
      <w:r>
        <w:rPr>
          <w:rFonts w:hint="eastAsia" w:asciiTheme="minorEastAsia" w:hAnsiTheme="minorEastAsia" w:eastAsiaTheme="minorEastAsia" w:cstheme="minorEastAsia"/>
          <w:sz w:val="24"/>
          <w:szCs w:val="24"/>
          <w:lang w:val="en-US" w:eastAsia="zh-CN"/>
        </w:rPr>
        <w:t xml:space="preserve"> </w:t>
      </w:r>
    </w:p>
    <w:p>
      <w:pPr>
        <w:topLinePunct/>
        <w:spacing w:line="50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5.7施工过程中，项目负责人应驻场管理，否则甲方有权要求乙方支付违约</w:t>
      </w:r>
      <w:r>
        <w:rPr>
          <w:rFonts w:hint="eastAsia" w:asciiTheme="minorEastAsia" w:hAnsiTheme="minorEastAsia" w:eastAsiaTheme="minorEastAsia" w:cstheme="minorEastAsia"/>
          <w:sz w:val="24"/>
          <w:szCs w:val="24"/>
          <w:u w:val="single"/>
          <w:lang w:val="en-US" w:eastAsia="zh-CN"/>
        </w:rPr>
        <w:t xml:space="preserve"> 1000元/天</w:t>
      </w:r>
      <w:r>
        <w:rPr>
          <w:rFonts w:hint="eastAsia" w:asciiTheme="minorEastAsia" w:hAnsiTheme="minorEastAsia" w:eastAsiaTheme="minorEastAsia" w:cstheme="minorEastAsia"/>
          <w:sz w:val="24"/>
          <w:szCs w:val="24"/>
          <w:lang w:val="en-US" w:eastAsia="zh-CN"/>
        </w:rPr>
        <w:t>，因此造成损失的，按实际发生额赔偿。</w:t>
      </w:r>
    </w:p>
    <w:p>
      <w:pPr>
        <w:pStyle w:val="46"/>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5.8施工过程中，乙方应负责配备现场的应急物资。具体应急物资配备详见附件应急救援物资清单。（如需）</w:t>
      </w:r>
    </w:p>
    <w:p>
      <w:pPr>
        <w:topLinePunct/>
        <w:spacing w:line="500" w:lineRule="exact"/>
        <w:ind w:firstLine="480" w:firstLineChars="20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5.9</w:t>
      </w:r>
      <w:r>
        <w:rPr>
          <w:rFonts w:hint="eastAsia" w:asciiTheme="minorEastAsia" w:hAnsiTheme="minorEastAsia" w:eastAsiaTheme="minorEastAsia" w:cstheme="minorEastAsia"/>
          <w:sz w:val="24"/>
          <w:szCs w:val="24"/>
        </w:rPr>
        <w:t>在合同有效期内，若乙方发生不诚信行为情形的，乙方自愿接受甲方按</w:t>
      </w:r>
      <w:r>
        <w:rPr>
          <w:rFonts w:hint="eastAsia" w:asciiTheme="minorEastAsia" w:hAnsiTheme="minorEastAsia" w:eastAsiaTheme="minorEastAsia" w:cstheme="minorEastAsia"/>
          <w:sz w:val="24"/>
          <w:szCs w:val="24"/>
          <w:lang w:eastAsia="zh-CN"/>
        </w:rPr>
        <w:t>《广州从化净水有限公司经营建设项目参建企业不诚信行为管理办法》</w:t>
      </w:r>
      <w:r>
        <w:rPr>
          <w:rFonts w:hint="eastAsia" w:asciiTheme="minorEastAsia" w:hAnsiTheme="minorEastAsia" w:eastAsiaTheme="minorEastAsia" w:cstheme="minorEastAsia"/>
          <w:sz w:val="24"/>
          <w:szCs w:val="24"/>
        </w:rPr>
        <w:t>处理</w:t>
      </w:r>
      <w:r>
        <w:rPr>
          <w:rFonts w:hint="eastAsia" w:asciiTheme="minorEastAsia" w:hAnsiTheme="minorEastAsia" w:eastAsiaTheme="minorEastAsia" w:cstheme="minorEastAsia"/>
          <w:sz w:val="24"/>
          <w:szCs w:val="24"/>
          <w:lang w:eastAsia="zh-CN"/>
        </w:rPr>
        <w:t>，具体处理标准详见附件</w:t>
      </w:r>
      <w:r>
        <w:rPr>
          <w:rFonts w:hint="eastAsia" w:asciiTheme="minorEastAsia" w:hAnsiTheme="minorEastAsia" w:eastAsiaTheme="minorEastAsia" w:cstheme="minorEastAsia"/>
          <w:sz w:val="24"/>
          <w:szCs w:val="24"/>
          <w:lang w:val="en-US" w:eastAsia="zh-CN"/>
        </w:rPr>
        <w:t>3。</w:t>
      </w:r>
    </w:p>
    <w:p>
      <w:pPr>
        <w:pStyle w:val="46"/>
        <w:rPr>
          <w:rFonts w:hint="eastAsia"/>
        </w:rPr>
      </w:pPr>
    </w:p>
    <w:p>
      <w:pPr>
        <w:tabs>
          <w:tab w:val="left" w:pos="851"/>
        </w:tabs>
        <w:adjustRightInd w:val="0"/>
        <w:snapToGrid w:val="0"/>
        <w:spacing w:line="360" w:lineRule="auto"/>
        <w:ind w:firstLine="482" w:firstLineChars="200"/>
        <w:jc w:val="left"/>
        <w:rPr>
          <w:rFonts w:ascii="宋体" w:hAnsi="宋体" w:cs="宋体"/>
          <w:b/>
          <w:sz w:val="24"/>
        </w:rPr>
      </w:pPr>
      <w:r>
        <w:rPr>
          <w:rFonts w:hint="eastAsia" w:ascii="宋体" w:hAnsi="宋体" w:cs="宋体"/>
          <w:b/>
          <w:sz w:val="24"/>
        </w:rPr>
        <w:t>第六条实施条件及管理要求</w:t>
      </w:r>
    </w:p>
    <w:p>
      <w:pPr>
        <w:spacing w:line="384" w:lineRule="auto"/>
        <w:ind w:firstLine="480" w:firstLineChars="200"/>
        <w:rPr>
          <w:rFonts w:ascii="宋体" w:hAnsi="宋体" w:cs="宋体"/>
          <w:sz w:val="24"/>
        </w:rPr>
      </w:pPr>
      <w:r>
        <w:rPr>
          <w:rFonts w:ascii="宋体" w:hAnsi="宋体" w:cs="宋体"/>
          <w:sz w:val="24"/>
        </w:rPr>
        <w:t>6.1</w:t>
      </w:r>
      <w:r>
        <w:rPr>
          <w:rFonts w:hint="eastAsia" w:ascii="宋体" w:hAnsi="宋体" w:cs="宋体"/>
          <w:sz w:val="24"/>
        </w:rPr>
        <w:t>甲方提供临时设施及材料实施场地，乙方确认在签订合同前已查看过甲方所提供的场地及周围的环境，掌握所有与项目实施有关或对项目实施有影响的情况，乙方进场后因场地因素所产生的后果均由乙方负责。</w:t>
      </w:r>
    </w:p>
    <w:p>
      <w:pPr>
        <w:spacing w:line="384" w:lineRule="auto"/>
        <w:ind w:firstLine="480" w:firstLineChars="200"/>
        <w:rPr>
          <w:rFonts w:ascii="宋体" w:hAnsi="宋体" w:cs="宋体"/>
          <w:sz w:val="24"/>
        </w:rPr>
      </w:pPr>
      <w:r>
        <w:rPr>
          <w:rFonts w:ascii="宋体" w:hAnsi="宋体" w:cs="宋体"/>
          <w:sz w:val="24"/>
        </w:rPr>
        <w:t>6.2</w:t>
      </w:r>
      <w:r>
        <w:rPr>
          <w:rFonts w:hint="eastAsia" w:ascii="宋体" w:hAnsi="宋体" w:cs="宋体"/>
          <w:sz w:val="24"/>
        </w:rPr>
        <w:t>施工用水用电采用以下</w:t>
      </w:r>
      <w:r>
        <w:rPr>
          <w:rFonts w:hint="eastAsia" w:ascii="宋体" w:hAnsi="宋体" w:cs="宋体"/>
          <w:sz w:val="24"/>
          <w:u w:val="single"/>
          <w:lang w:val="en-US" w:eastAsia="zh-CN"/>
        </w:rPr>
        <w:t xml:space="preserve">  （3）  </w:t>
      </w:r>
      <w:r>
        <w:rPr>
          <w:rFonts w:hint="eastAsia" w:ascii="宋体" w:hAnsi="宋体" w:cs="宋体"/>
          <w:sz w:val="24"/>
        </w:rPr>
        <w:t>方式执行。</w:t>
      </w:r>
    </w:p>
    <w:p>
      <w:pPr>
        <w:spacing w:line="384"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）由甲方提供施工用水用电。</w:t>
      </w:r>
    </w:p>
    <w:p>
      <w:pPr>
        <w:spacing w:line="384"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）由甲方提供施工用水用电接口，费用按</w:t>
      </w:r>
      <w:r>
        <w:rPr>
          <w:rFonts w:hint="eastAsia" w:ascii="宋体" w:hAnsi="宋体" w:cs="宋体"/>
          <w:sz w:val="24"/>
          <w:u w:val="single"/>
        </w:rPr>
        <w:t>（</w:t>
      </w:r>
      <w:r>
        <w:rPr>
          <w:rFonts w:hint="eastAsia" w:ascii="宋体" w:hAnsi="宋体" w:cs="宋体"/>
          <w:sz w:val="24"/>
        </w:rPr>
        <w:t>月</w:t>
      </w:r>
      <w:r>
        <w:rPr>
          <w:rFonts w:ascii="宋体" w:hAnsi="宋体" w:cs="宋体"/>
          <w:sz w:val="24"/>
        </w:rPr>
        <w:t>/</w:t>
      </w:r>
      <w:r>
        <w:rPr>
          <w:rFonts w:hint="eastAsia" w:ascii="宋体" w:hAnsi="宋体" w:cs="宋体"/>
          <w:sz w:val="24"/>
        </w:rPr>
        <w:t>项目）结算，由乙方向甲方或甲方下辖分公司</w:t>
      </w:r>
      <w:r>
        <w:rPr>
          <w:rFonts w:ascii="宋体" w:hAnsi="宋体" w:cs="宋体"/>
          <w:sz w:val="24"/>
        </w:rPr>
        <w:t>/</w:t>
      </w:r>
      <w:r>
        <w:rPr>
          <w:rFonts w:hint="eastAsia" w:ascii="宋体" w:hAnsi="宋体" w:cs="宋体"/>
          <w:sz w:val="24"/>
        </w:rPr>
        <w:t>子公司支付。水电费用按所属供电局、自来水公司收费标准，按实计算。</w:t>
      </w:r>
    </w:p>
    <w:p>
      <w:pPr>
        <w:spacing w:line="384"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）由乙方自行负责。</w:t>
      </w:r>
    </w:p>
    <w:p>
      <w:pPr>
        <w:spacing w:line="384" w:lineRule="auto"/>
        <w:ind w:firstLine="480" w:firstLineChars="200"/>
        <w:rPr>
          <w:rFonts w:ascii="宋体" w:hAnsi="宋体" w:cs="宋体"/>
          <w:sz w:val="24"/>
        </w:rPr>
      </w:pPr>
      <w:r>
        <w:rPr>
          <w:rFonts w:ascii="宋体" w:hAnsi="宋体" w:cs="宋体"/>
          <w:sz w:val="24"/>
        </w:rPr>
        <w:t>6.3</w:t>
      </w:r>
      <w:r>
        <w:rPr>
          <w:rFonts w:hint="eastAsia" w:ascii="宋体" w:hAnsi="宋体" w:cs="宋体"/>
          <w:sz w:val="24"/>
        </w:rPr>
        <w:t>施工时间安排：上午</w:t>
      </w:r>
      <w:r>
        <w:rPr>
          <w:rFonts w:ascii="宋体" w:hAnsi="宋体" w:cs="宋体"/>
          <w:sz w:val="24"/>
        </w:rPr>
        <w:t>7</w:t>
      </w:r>
      <w:r>
        <w:rPr>
          <w:rFonts w:hint="eastAsia" w:ascii="宋体" w:hAnsi="宋体" w:cs="宋体"/>
          <w:sz w:val="24"/>
        </w:rPr>
        <w:t>：</w:t>
      </w:r>
      <w:r>
        <w:rPr>
          <w:rFonts w:ascii="宋体" w:hAnsi="宋体" w:cs="宋体"/>
          <w:sz w:val="24"/>
        </w:rPr>
        <w:t>00-12</w:t>
      </w:r>
      <w:r>
        <w:rPr>
          <w:rFonts w:hint="eastAsia" w:ascii="宋体" w:hAnsi="宋体" w:cs="宋体"/>
          <w:sz w:val="24"/>
        </w:rPr>
        <w:t>：</w:t>
      </w:r>
      <w:r>
        <w:rPr>
          <w:rFonts w:ascii="宋体" w:hAnsi="宋体" w:cs="宋体"/>
          <w:sz w:val="24"/>
        </w:rPr>
        <w:t>00</w:t>
      </w:r>
      <w:r>
        <w:rPr>
          <w:rFonts w:hint="eastAsia" w:ascii="宋体" w:hAnsi="宋体" w:cs="宋体"/>
          <w:sz w:val="24"/>
        </w:rPr>
        <w:t>，下午</w:t>
      </w:r>
      <w:r>
        <w:rPr>
          <w:rFonts w:ascii="宋体" w:hAnsi="宋体" w:cs="宋体"/>
          <w:sz w:val="24"/>
        </w:rPr>
        <w:t>14</w:t>
      </w:r>
      <w:r>
        <w:rPr>
          <w:rFonts w:hint="eastAsia" w:ascii="宋体" w:hAnsi="宋体" w:cs="宋体"/>
          <w:sz w:val="24"/>
        </w:rPr>
        <w:t>：</w:t>
      </w:r>
      <w:r>
        <w:rPr>
          <w:rFonts w:ascii="宋体" w:hAnsi="宋体" w:cs="宋体"/>
          <w:sz w:val="24"/>
        </w:rPr>
        <w:t>00-18</w:t>
      </w:r>
      <w:r>
        <w:rPr>
          <w:rFonts w:hint="eastAsia" w:ascii="宋体" w:hAnsi="宋体" w:cs="宋体"/>
          <w:sz w:val="24"/>
        </w:rPr>
        <w:t>：</w:t>
      </w:r>
      <w:r>
        <w:rPr>
          <w:rFonts w:ascii="宋体" w:hAnsi="宋体" w:cs="宋体"/>
          <w:sz w:val="24"/>
        </w:rPr>
        <w:t>00</w:t>
      </w:r>
      <w:r>
        <w:rPr>
          <w:rFonts w:hint="eastAsia" w:ascii="宋体" w:hAnsi="宋体" w:cs="宋体"/>
          <w:sz w:val="24"/>
        </w:rPr>
        <w:t>，施工时间如需变动，以甲方的书面或口头通知为准。</w:t>
      </w:r>
    </w:p>
    <w:p>
      <w:pPr>
        <w:spacing w:line="384" w:lineRule="auto"/>
        <w:ind w:firstLine="480" w:firstLineChars="200"/>
        <w:rPr>
          <w:rFonts w:ascii="宋体" w:hAnsi="宋体" w:cs="宋体"/>
          <w:sz w:val="24"/>
        </w:rPr>
      </w:pPr>
      <w:r>
        <w:rPr>
          <w:rFonts w:ascii="宋体" w:hAnsi="宋体" w:cs="宋体"/>
          <w:sz w:val="24"/>
        </w:rPr>
        <w:t>6.4</w:t>
      </w:r>
      <w:r>
        <w:rPr>
          <w:rFonts w:hint="eastAsia" w:ascii="宋体" w:hAnsi="宋体" w:cs="宋体"/>
          <w:sz w:val="24"/>
        </w:rPr>
        <w:t>进场施工人员必须严格遵守</w:t>
      </w:r>
      <w:r>
        <w:rPr>
          <w:rFonts w:hint="eastAsia" w:ascii="宋体" w:hAnsi="宋体" w:cs="宋体"/>
          <w:kern w:val="10"/>
          <w:sz w:val="24"/>
        </w:rPr>
        <w:t>污水处理厂</w:t>
      </w:r>
      <w:r>
        <w:rPr>
          <w:rFonts w:hint="eastAsia" w:ascii="宋体" w:hAnsi="宋体" w:cs="宋体"/>
          <w:sz w:val="24"/>
        </w:rPr>
        <w:t>一切规章制度。进入施工现场人员必须佩戴出入证，并自觉接受门岗检查。</w:t>
      </w:r>
    </w:p>
    <w:p>
      <w:pPr>
        <w:snapToGrid w:val="0"/>
        <w:spacing w:line="384" w:lineRule="auto"/>
        <w:ind w:firstLine="480" w:firstLineChars="200"/>
        <w:rPr>
          <w:rFonts w:ascii="宋体" w:hAnsi="宋体" w:cs="宋体"/>
          <w:sz w:val="24"/>
        </w:rPr>
      </w:pPr>
      <w:r>
        <w:rPr>
          <w:rFonts w:ascii="宋体" w:hAnsi="宋体" w:cs="宋体"/>
          <w:sz w:val="24"/>
        </w:rPr>
        <w:t>6.5</w:t>
      </w:r>
      <w:r>
        <w:rPr>
          <w:rFonts w:hint="eastAsia" w:ascii="宋体" w:hAnsi="宋体" w:cs="宋体"/>
          <w:sz w:val="24"/>
        </w:rPr>
        <w:t>环境保护要求：</w:t>
      </w:r>
    </w:p>
    <w:p>
      <w:pPr>
        <w:snapToGrid w:val="0"/>
        <w:spacing w:line="384"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）做好施工噪声、废气、废水等控制；</w:t>
      </w:r>
    </w:p>
    <w:p>
      <w:pPr>
        <w:snapToGrid w:val="0"/>
        <w:spacing w:line="384"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）按照国家及广州市相关规定做好建筑垃圾的处理。</w:t>
      </w:r>
    </w:p>
    <w:p>
      <w:pPr>
        <w:snapToGrid w:val="0"/>
        <w:spacing w:line="384" w:lineRule="auto"/>
        <w:ind w:firstLine="480" w:firstLineChars="200"/>
        <w:rPr>
          <w:rFonts w:ascii="宋体" w:hAnsi="宋体" w:cs="宋体"/>
          <w:sz w:val="24"/>
        </w:rPr>
      </w:pPr>
      <w:r>
        <w:rPr>
          <w:rFonts w:ascii="宋体" w:hAnsi="宋体" w:cs="宋体"/>
          <w:sz w:val="24"/>
        </w:rPr>
        <w:t>6.6</w:t>
      </w:r>
      <w:r>
        <w:rPr>
          <w:rFonts w:hint="eastAsia" w:ascii="宋体" w:hAnsi="宋体" w:cs="宋体"/>
          <w:sz w:val="24"/>
        </w:rPr>
        <w:t>按相关法律法规及甲方相关作业施工管理要求执行。</w:t>
      </w:r>
    </w:p>
    <w:p>
      <w:pPr>
        <w:pStyle w:val="12"/>
        <w:spacing w:line="384" w:lineRule="auto"/>
        <w:rPr>
          <w:rFonts w:hAnsi="宋体" w:cs="宋体"/>
          <w:b/>
          <w:bCs/>
          <w:sz w:val="24"/>
          <w:szCs w:val="24"/>
        </w:rPr>
      </w:pPr>
      <w:r>
        <w:rPr>
          <w:rFonts w:hint="eastAsia" w:hAnsi="宋体" w:cs="宋体"/>
          <w:b/>
          <w:bCs/>
          <w:sz w:val="24"/>
          <w:szCs w:val="24"/>
        </w:rPr>
        <w:t>第七条</w:t>
      </w:r>
      <w:r>
        <w:rPr>
          <w:rFonts w:hint="eastAsia" w:hAnsi="宋体" w:cs="宋体"/>
          <w:b/>
          <w:bCs/>
          <w:sz w:val="24"/>
          <w:szCs w:val="24"/>
          <w:lang w:val="en-US" w:eastAsia="zh-CN"/>
        </w:rPr>
        <w:t xml:space="preserve"> </w:t>
      </w:r>
      <w:r>
        <w:rPr>
          <w:rFonts w:hint="eastAsia" w:hAnsi="宋体" w:cs="宋体"/>
          <w:b/>
          <w:bCs/>
          <w:sz w:val="24"/>
          <w:szCs w:val="24"/>
        </w:rPr>
        <w:t>材料及设备供应</w:t>
      </w:r>
    </w:p>
    <w:p>
      <w:pPr>
        <w:spacing w:line="384" w:lineRule="auto"/>
        <w:ind w:firstLine="480" w:firstLineChars="200"/>
        <w:rPr>
          <w:rFonts w:ascii="宋体" w:hAnsi="宋体" w:cs="宋体"/>
          <w:sz w:val="24"/>
        </w:rPr>
      </w:pPr>
      <w:r>
        <w:rPr>
          <w:rFonts w:hint="eastAsia" w:ascii="宋体" w:hAnsi="宋体" w:cs="宋体"/>
          <w:sz w:val="24"/>
        </w:rPr>
        <w:t>本项目承包范围内所需的设备材料、成品、未成品、运输、保管、质量等责任均由乙方承担。甲方不提供材料。</w:t>
      </w:r>
    </w:p>
    <w:p>
      <w:pPr>
        <w:spacing w:line="384" w:lineRule="auto"/>
        <w:ind w:left="-2" w:leftChars="-1" w:firstLine="480" w:firstLineChars="200"/>
        <w:rPr>
          <w:rFonts w:ascii="宋体" w:hAnsi="宋体" w:cs="宋体"/>
          <w:sz w:val="24"/>
        </w:rPr>
      </w:pPr>
      <w:r>
        <w:rPr>
          <w:rFonts w:ascii="宋体" w:hAnsi="宋体" w:cs="宋体"/>
          <w:sz w:val="24"/>
        </w:rPr>
        <w:t>7.1</w:t>
      </w:r>
      <w:r>
        <w:rPr>
          <w:rFonts w:hint="eastAsia" w:ascii="宋体" w:hAnsi="宋体" w:cs="宋体"/>
          <w:sz w:val="24"/>
        </w:rPr>
        <w:t>采购供应的材料、其名称、品种、型号、规格、质量等，均应符合国家、地方及行业有关规范及要求。</w:t>
      </w:r>
    </w:p>
    <w:p>
      <w:pPr>
        <w:spacing w:line="384" w:lineRule="auto"/>
        <w:ind w:left="657" w:leftChars="200" w:hanging="237" w:hangingChars="99"/>
        <w:rPr>
          <w:rFonts w:ascii="宋体" w:hAnsi="宋体" w:cs="宋体"/>
          <w:sz w:val="24"/>
        </w:rPr>
      </w:pPr>
      <w:r>
        <w:rPr>
          <w:rFonts w:ascii="宋体" w:hAnsi="宋体" w:cs="宋体"/>
          <w:sz w:val="24"/>
        </w:rPr>
        <w:t>7.2</w:t>
      </w:r>
      <w:r>
        <w:rPr>
          <w:rFonts w:hint="eastAsia" w:ascii="宋体" w:hAnsi="宋体" w:cs="宋体"/>
          <w:sz w:val="24"/>
        </w:rPr>
        <w:t>所有材料必须具备合格证明，并保证产品的有效性。</w:t>
      </w:r>
    </w:p>
    <w:p>
      <w:pPr>
        <w:spacing w:line="384" w:lineRule="auto"/>
        <w:ind w:firstLine="480" w:firstLineChars="200"/>
        <w:rPr>
          <w:rFonts w:ascii="宋体" w:hAnsi="宋体" w:cs="宋体"/>
          <w:sz w:val="24"/>
        </w:rPr>
      </w:pPr>
      <w:r>
        <w:rPr>
          <w:rFonts w:ascii="宋体" w:hAnsi="宋体" w:cs="宋体"/>
          <w:sz w:val="24"/>
        </w:rPr>
        <w:t>7.3</w:t>
      </w:r>
      <w:r>
        <w:rPr>
          <w:rFonts w:hint="eastAsia" w:ascii="宋体" w:hAnsi="宋体" w:cs="宋体"/>
          <w:sz w:val="24"/>
        </w:rPr>
        <w:t>由于乙方提供的伪劣、假冒等所有不合格材料而导致的损失、事故及一切后果，均由乙方负责并赔偿甲方所有损失，并负责更换所有已施工的不合格材料。</w:t>
      </w:r>
    </w:p>
    <w:p>
      <w:pPr>
        <w:tabs>
          <w:tab w:val="left" w:pos="360"/>
        </w:tabs>
        <w:spacing w:line="384" w:lineRule="auto"/>
        <w:ind w:firstLine="480" w:firstLineChars="200"/>
        <w:rPr>
          <w:rFonts w:ascii="宋体" w:hAnsi="宋体" w:cs="宋体"/>
          <w:sz w:val="24"/>
        </w:rPr>
      </w:pPr>
      <w:r>
        <w:rPr>
          <w:rFonts w:ascii="宋体" w:hAnsi="宋体" w:cs="宋体"/>
          <w:sz w:val="24"/>
        </w:rPr>
        <w:t>7.4</w:t>
      </w:r>
      <w:r>
        <w:rPr>
          <w:rFonts w:hint="eastAsia" w:ascii="宋体" w:hAnsi="宋体" w:cs="宋体"/>
          <w:sz w:val="24"/>
        </w:rPr>
        <w:t>乙方必须根据投标文件</w:t>
      </w:r>
      <w:r>
        <w:rPr>
          <w:rFonts w:ascii="宋体" w:hAnsi="宋体" w:cs="宋体"/>
          <w:sz w:val="24"/>
        </w:rPr>
        <w:t>/</w:t>
      </w:r>
      <w:r>
        <w:rPr>
          <w:rFonts w:hint="eastAsia" w:ascii="宋体" w:hAnsi="宋体" w:cs="宋体"/>
          <w:sz w:val="24"/>
        </w:rPr>
        <w:t>询价响应文件（如有）上主要材料的明细（包括厂家、规格、品质等级等）提供材料。工程实施时，如发现材料不一致，甲方有权拒用，造成损失由乙方承担。</w:t>
      </w:r>
    </w:p>
    <w:p>
      <w:pPr>
        <w:spacing w:line="384" w:lineRule="auto"/>
        <w:ind w:left="-2" w:leftChars="-1" w:firstLine="480" w:firstLineChars="200"/>
        <w:rPr>
          <w:rFonts w:ascii="宋体" w:hAnsi="宋体" w:cs="宋体"/>
          <w:sz w:val="24"/>
        </w:rPr>
      </w:pPr>
      <w:r>
        <w:rPr>
          <w:rFonts w:ascii="宋体" w:hAnsi="宋体" w:cs="宋体"/>
          <w:sz w:val="24"/>
        </w:rPr>
        <w:t xml:space="preserve">7.5 </w:t>
      </w:r>
      <w:r>
        <w:rPr>
          <w:rFonts w:hint="eastAsia" w:ascii="宋体" w:hAnsi="宋体" w:cs="宋体"/>
          <w:sz w:val="24"/>
        </w:rPr>
        <w:t>甲方有权对施工质量进行监督、检查或检验，也可自行委托第三方进行质量检验，甲方或第三方的检验结果作为最终的质量评定结果。</w:t>
      </w:r>
    </w:p>
    <w:p>
      <w:pPr>
        <w:spacing w:line="384" w:lineRule="auto"/>
        <w:ind w:firstLine="480" w:firstLineChars="200"/>
        <w:rPr>
          <w:rFonts w:ascii="宋体" w:hAnsi="宋体" w:cs="宋体"/>
          <w:sz w:val="24"/>
        </w:rPr>
      </w:pPr>
      <w:r>
        <w:rPr>
          <w:rFonts w:ascii="宋体" w:hAnsi="宋体" w:cs="宋体"/>
          <w:sz w:val="24"/>
        </w:rPr>
        <w:t xml:space="preserve">7.6 </w:t>
      </w:r>
      <w:r>
        <w:rPr>
          <w:rFonts w:hint="eastAsia" w:ascii="宋体" w:hAnsi="宋体" w:cs="宋体"/>
          <w:sz w:val="24"/>
        </w:rPr>
        <w:t>承包范围之内工程所用之设备，由乙方提供。</w:t>
      </w:r>
    </w:p>
    <w:p>
      <w:pPr>
        <w:spacing w:line="384" w:lineRule="auto"/>
        <w:rPr>
          <w:rFonts w:ascii="宋体" w:hAnsi="宋体" w:cs="宋体"/>
          <w:sz w:val="24"/>
        </w:rPr>
      </w:pPr>
      <w:r>
        <w:rPr>
          <w:rFonts w:hint="eastAsia" w:ascii="宋体" w:hAnsi="宋体" w:cs="宋体"/>
          <w:b/>
          <w:bCs/>
          <w:sz w:val="24"/>
        </w:rPr>
        <w:t>第八条付</w:t>
      </w:r>
      <w:r>
        <w:rPr>
          <w:rFonts w:hint="eastAsia" w:ascii="宋体" w:hAnsi="宋体" w:cs="宋体"/>
          <w:b/>
          <w:sz w:val="24"/>
        </w:rPr>
        <w:t>款及履约担保</w:t>
      </w:r>
    </w:p>
    <w:p>
      <w:pPr>
        <w:spacing w:line="384" w:lineRule="auto"/>
        <w:ind w:firstLine="480" w:firstLineChars="200"/>
        <w:rPr>
          <w:rFonts w:ascii="宋体" w:hAnsi="宋体" w:cs="宋体"/>
          <w:bCs/>
          <w:sz w:val="24"/>
          <w:u w:val="single"/>
        </w:rPr>
      </w:pPr>
      <w:r>
        <w:rPr>
          <w:rFonts w:ascii="宋体" w:hAnsi="宋体" w:cs="宋体"/>
          <w:sz w:val="24"/>
        </w:rPr>
        <w:t>8.1</w:t>
      </w:r>
      <w:r>
        <w:rPr>
          <w:rFonts w:hint="eastAsia" w:ascii="宋体" w:hAnsi="宋体" w:cs="宋体"/>
          <w:bCs/>
          <w:sz w:val="24"/>
        </w:rPr>
        <w:t>预付款的支付：</w:t>
      </w:r>
      <w:r>
        <w:rPr>
          <w:rFonts w:ascii="宋体" w:hAnsi="宋体" w:cs="宋体"/>
          <w:bCs/>
          <w:sz w:val="24"/>
        </w:rPr>
        <w:sym w:font="Wingdings" w:char="00FE"/>
      </w:r>
      <w:r>
        <w:rPr>
          <w:rFonts w:hint="eastAsia" w:ascii="宋体" w:hAnsi="宋体" w:cs="宋体"/>
          <w:bCs/>
          <w:sz w:val="24"/>
        </w:rPr>
        <w:t>无；</w:t>
      </w:r>
      <w:r>
        <w:rPr>
          <w:rFonts w:ascii="宋体" w:hAnsi="宋体" w:cs="宋体"/>
          <w:bCs/>
          <w:sz w:val="24"/>
        </w:rPr>
        <w:sym w:font="Wingdings" w:char="F0A8"/>
      </w:r>
      <w:r>
        <w:rPr>
          <w:rFonts w:hint="eastAsia" w:ascii="宋体" w:hAnsi="宋体" w:cs="宋体"/>
          <w:bCs/>
          <w:sz w:val="24"/>
        </w:rPr>
        <w:t>有,合同签订后，乙方开具等额的增值税专用发票及提交履约担保担保（如有）后</w:t>
      </w:r>
      <w:r>
        <w:rPr>
          <w:rFonts w:ascii="宋体" w:hAnsi="宋体" w:cs="宋体"/>
          <w:bCs/>
          <w:sz w:val="24"/>
          <w:u w:val="single"/>
        </w:rPr>
        <w:t xml:space="preserve"> 10 </w:t>
      </w:r>
      <w:r>
        <w:rPr>
          <w:rFonts w:hint="eastAsia" w:ascii="宋体" w:hAnsi="宋体" w:cs="宋体"/>
          <w:bCs/>
          <w:sz w:val="24"/>
        </w:rPr>
        <w:t>个工作日内，甲方支付合同</w:t>
      </w:r>
      <w:r>
        <w:rPr>
          <w:rFonts w:hint="eastAsia" w:ascii="宋体" w:hAnsi="宋体" w:cs="宋体"/>
          <w:sz w:val="24"/>
        </w:rPr>
        <w:t>暂定总价</w:t>
      </w:r>
      <w:r>
        <w:rPr>
          <w:rFonts w:hint="eastAsia" w:ascii="宋体" w:hAnsi="宋体" w:cs="宋体"/>
          <w:bCs/>
          <w:sz w:val="24"/>
        </w:rPr>
        <w:t>的</w:t>
      </w:r>
      <w:r>
        <w:rPr>
          <w:rFonts w:hint="eastAsia" w:ascii="宋体" w:hAnsi="宋体" w:cs="宋体"/>
          <w:bCs/>
          <w:sz w:val="24"/>
          <w:u w:val="single"/>
        </w:rPr>
        <w:t>（不得超过</w:t>
      </w:r>
      <w:r>
        <w:rPr>
          <w:rFonts w:ascii="宋体" w:hAnsi="宋体" w:cs="宋体"/>
          <w:bCs/>
          <w:sz w:val="24"/>
          <w:u w:val="single"/>
        </w:rPr>
        <w:t>30%</w:t>
      </w:r>
      <w:r>
        <w:rPr>
          <w:rFonts w:hint="eastAsia" w:ascii="宋体" w:hAnsi="宋体" w:cs="宋体"/>
          <w:bCs/>
          <w:sz w:val="24"/>
          <w:u w:val="single"/>
        </w:rPr>
        <w:t>）</w:t>
      </w:r>
      <w:r>
        <w:rPr>
          <w:rFonts w:hint="eastAsia" w:ascii="宋体" w:hAnsi="宋体" w:cs="宋体"/>
          <w:sz w:val="24"/>
        </w:rPr>
        <w:t>即</w:t>
      </w:r>
      <w:r>
        <w:rPr>
          <w:rFonts w:hint="eastAsia" w:ascii="宋体" w:hAnsi="宋体" w:cs="宋体"/>
          <w:sz w:val="24"/>
          <w:lang w:eastAsia="zh-CN"/>
        </w:rPr>
        <w:t>…</w:t>
      </w:r>
      <w:r>
        <w:rPr>
          <w:rFonts w:hint="eastAsia" w:ascii="宋体" w:hAnsi="宋体" w:cs="宋体"/>
          <w:sz w:val="24"/>
          <w:u w:val="single"/>
        </w:rPr>
        <w:t>元，（大写：</w:t>
      </w:r>
      <w:r>
        <w:rPr>
          <w:rFonts w:hint="eastAsia" w:ascii="宋体" w:hAnsi="宋体" w:cs="宋体"/>
          <w:sz w:val="24"/>
          <w:u w:val="single"/>
          <w:lang w:eastAsia="zh-CN"/>
        </w:rPr>
        <w:t>…</w:t>
      </w:r>
      <w:r>
        <w:rPr>
          <w:rFonts w:hint="eastAsia" w:ascii="宋体" w:hAnsi="宋体" w:cs="宋体"/>
          <w:sz w:val="24"/>
          <w:u w:val="single"/>
        </w:rPr>
        <w:t>）</w:t>
      </w:r>
      <w:r>
        <w:rPr>
          <w:rFonts w:hint="eastAsia" w:ascii="宋体" w:hAnsi="宋体" w:cs="宋体"/>
          <w:bCs/>
          <w:sz w:val="24"/>
        </w:rPr>
        <w:t>作为预付款。</w:t>
      </w:r>
      <w:r>
        <w:rPr>
          <w:rFonts w:hint="eastAsia" w:ascii="宋体" w:hAnsi="宋体" w:cs="宋体"/>
          <w:sz w:val="24"/>
        </w:rPr>
        <w:t>若合同解除或终止，乙方在</w:t>
      </w:r>
      <w:r>
        <w:rPr>
          <w:rFonts w:ascii="宋体" w:hAnsi="宋体" w:cs="宋体"/>
          <w:sz w:val="24"/>
          <w:u w:val="single"/>
        </w:rPr>
        <w:t xml:space="preserve"> 5 </w:t>
      </w:r>
      <w:r>
        <w:rPr>
          <w:rFonts w:hint="eastAsia" w:ascii="宋体" w:hAnsi="宋体" w:cs="宋体"/>
          <w:sz w:val="24"/>
        </w:rPr>
        <w:t>个工作日内返还预付款（无息）。</w:t>
      </w:r>
      <w:r>
        <w:rPr>
          <w:rFonts w:hint="eastAsia" w:ascii="宋体" w:hAnsi="宋体" w:cs="宋体"/>
          <w:bCs/>
          <w:kern w:val="0"/>
          <w:sz w:val="24"/>
        </w:rPr>
        <w:t>逾期未返还，每逾期一天，乙方应按合同暂定总价的</w:t>
      </w:r>
      <w:r>
        <w:rPr>
          <w:rFonts w:hint="eastAsia" w:ascii="宋体" w:hAnsi="宋体" w:cs="宋体"/>
          <w:bCs/>
          <w:kern w:val="0"/>
          <w:sz w:val="24"/>
          <w:u w:val="single"/>
        </w:rPr>
        <w:t>万分之五</w:t>
      </w:r>
      <w:r>
        <w:rPr>
          <w:rFonts w:ascii="宋体" w:hAnsi="宋体" w:cs="宋体"/>
          <w:bCs/>
          <w:kern w:val="0"/>
          <w:sz w:val="24"/>
          <w:u w:val="single"/>
        </w:rPr>
        <w:t>/</w:t>
      </w:r>
      <w:r>
        <w:rPr>
          <w:rFonts w:hint="eastAsia" w:ascii="宋体" w:hAnsi="宋体" w:cs="宋体"/>
          <w:bCs/>
          <w:kern w:val="0"/>
          <w:sz w:val="24"/>
          <w:u w:val="single"/>
        </w:rPr>
        <w:t>天</w:t>
      </w:r>
      <w:r>
        <w:rPr>
          <w:rFonts w:hint="eastAsia" w:ascii="宋体" w:hAnsi="宋体" w:cs="宋体"/>
          <w:bCs/>
          <w:kern w:val="0"/>
          <w:sz w:val="24"/>
        </w:rPr>
        <w:t>支付违约金</w:t>
      </w:r>
      <w:r>
        <w:rPr>
          <w:rFonts w:hint="eastAsia" w:ascii="宋体" w:hAnsi="宋体" w:cs="宋体"/>
          <w:sz w:val="24"/>
        </w:rPr>
        <w:t>。</w:t>
      </w:r>
    </w:p>
    <w:p>
      <w:pPr>
        <w:pStyle w:val="12"/>
        <w:spacing w:line="384" w:lineRule="auto"/>
        <w:ind w:firstLine="480" w:firstLineChars="200"/>
        <w:outlineLvl w:val="1"/>
        <w:rPr>
          <w:rFonts w:hint="default" w:hAnsi="宋体" w:eastAsia="宋体" w:cs="宋体"/>
          <w:sz w:val="24"/>
          <w:szCs w:val="24"/>
          <w:lang w:val="en-US" w:eastAsia="zh-CN"/>
        </w:rPr>
      </w:pPr>
      <w:r>
        <w:rPr>
          <w:rFonts w:hAnsi="宋体" w:cs="宋体"/>
          <w:sz w:val="24"/>
          <w:szCs w:val="24"/>
        </w:rPr>
        <w:t>8.2</w:t>
      </w:r>
      <w:r>
        <w:rPr>
          <w:rFonts w:hint="eastAsia" w:hAnsi="宋体" w:cs="宋体"/>
          <w:sz w:val="24"/>
          <w:szCs w:val="24"/>
          <w:u w:val="single"/>
        </w:rPr>
        <w:t>项目验收合格后，由乙方提交申请支付资料</w:t>
      </w:r>
      <w:r>
        <w:rPr>
          <w:rFonts w:hAnsi="宋体" w:cs="宋体"/>
          <w:sz w:val="24"/>
          <w:szCs w:val="24"/>
          <w:u w:val="single"/>
        </w:rPr>
        <w:t xml:space="preserve"> 15 </w:t>
      </w:r>
      <w:r>
        <w:rPr>
          <w:rFonts w:hint="eastAsia" w:hAnsi="宋体" w:cs="宋体"/>
          <w:sz w:val="24"/>
          <w:szCs w:val="24"/>
          <w:u w:val="single"/>
        </w:rPr>
        <w:t>个工作日内，甲方支付</w:t>
      </w:r>
      <w:r>
        <w:rPr>
          <w:rFonts w:hint="eastAsia" w:hAnsi="宋体" w:cs="宋体"/>
          <w:sz w:val="24"/>
          <w:szCs w:val="24"/>
          <w:u w:val="single"/>
          <w:lang w:eastAsia="zh-CN"/>
        </w:rPr>
        <w:t>至</w:t>
      </w:r>
      <w:r>
        <w:rPr>
          <w:rFonts w:hint="eastAsia" w:hAnsi="宋体" w:cs="宋体"/>
          <w:sz w:val="24"/>
          <w:szCs w:val="24"/>
          <w:u w:val="single"/>
        </w:rPr>
        <w:t>合同暂定总价的</w:t>
      </w:r>
      <w:r>
        <w:rPr>
          <w:rFonts w:hint="eastAsia" w:hAnsi="宋体" w:cs="宋体"/>
          <w:sz w:val="24"/>
          <w:szCs w:val="24"/>
          <w:u w:val="single"/>
          <w:lang w:val="en-US" w:eastAsia="zh-CN"/>
        </w:rPr>
        <w:t>80</w:t>
      </w:r>
      <w:r>
        <w:rPr>
          <w:rFonts w:hint="eastAsia" w:hAnsi="宋体" w:cs="宋体"/>
          <w:sz w:val="24"/>
          <w:szCs w:val="24"/>
          <w:u w:val="single"/>
        </w:rPr>
        <w:t>％即</w:t>
      </w:r>
      <w:r>
        <w:rPr>
          <w:rFonts w:hint="eastAsia" w:hAnsi="宋体" w:cs="宋体"/>
          <w:sz w:val="24"/>
          <w:szCs w:val="24"/>
          <w:u w:val="single"/>
          <w:lang w:val="en-US" w:eastAsia="zh-CN"/>
        </w:rPr>
        <w:t>^</w:t>
      </w:r>
      <w:r>
        <w:rPr>
          <w:rFonts w:hint="eastAsia" w:hAnsi="宋体" w:cs="宋体"/>
          <w:sz w:val="24"/>
          <w:szCs w:val="24"/>
          <w:u w:val="single"/>
        </w:rPr>
        <w:t>万元给乙方。</w:t>
      </w:r>
      <w:r>
        <w:rPr>
          <w:rFonts w:hint="eastAsia" w:hAnsi="宋体" w:cs="宋体"/>
          <w:sz w:val="24"/>
          <w:szCs w:val="24"/>
          <w:lang w:eastAsia="zh-CN"/>
        </w:rPr>
        <w:t>（</w:t>
      </w:r>
      <w:r>
        <w:rPr>
          <w:rFonts w:hint="eastAsia" w:hAnsi="宋体" w:cs="宋体"/>
          <w:sz w:val="24"/>
          <w:szCs w:val="24"/>
          <w:lang w:val="en-US" w:eastAsia="zh-CN"/>
        </w:rPr>
        <w:t>如需）</w:t>
      </w:r>
    </w:p>
    <w:p>
      <w:pPr>
        <w:tabs>
          <w:tab w:val="left" w:pos="0"/>
        </w:tabs>
        <w:adjustRightInd w:val="0"/>
        <w:snapToGrid w:val="0"/>
        <w:spacing w:line="360" w:lineRule="auto"/>
        <w:ind w:firstLine="480" w:firstLineChars="200"/>
        <w:jc w:val="left"/>
        <w:rPr>
          <w:rFonts w:hint="eastAsia" w:ascii="宋体" w:hAnsi="宋体" w:cs="宋体"/>
          <w:sz w:val="24"/>
        </w:rPr>
      </w:pPr>
      <w:r>
        <w:rPr>
          <w:rFonts w:ascii="宋体" w:hAnsi="宋体" w:cs="宋体"/>
          <w:sz w:val="24"/>
        </w:rPr>
        <w:t>8.2.1</w:t>
      </w:r>
      <w:r>
        <w:rPr>
          <w:rFonts w:hint="eastAsia" w:ascii="宋体" w:hAnsi="宋体" w:cs="宋体"/>
          <w:sz w:val="24"/>
          <w:u w:val="single"/>
          <w:lang w:val="en-US" w:eastAsia="zh-CN"/>
        </w:rPr>
        <w:t>项目验收合同后，</w:t>
      </w:r>
      <w:r>
        <w:rPr>
          <w:rFonts w:hint="eastAsia" w:ascii="宋体" w:hAnsi="宋体" w:cs="宋体"/>
          <w:sz w:val="24"/>
          <w:lang w:val="en-US" w:eastAsia="zh-CN"/>
        </w:rPr>
        <w:t>经甲方或</w:t>
      </w:r>
      <w:r>
        <w:rPr>
          <w:rFonts w:hint="eastAsia" w:ascii="宋体" w:hAnsi="宋体" w:cs="宋体"/>
          <w:sz w:val="24"/>
        </w:rPr>
        <w:t>甲方委托有资质第三方机构审核后，由乙方提交申请支付资料</w:t>
      </w:r>
      <w:r>
        <w:rPr>
          <w:rFonts w:ascii="宋体" w:hAnsi="宋体" w:cs="宋体"/>
          <w:sz w:val="24"/>
          <w:u w:val="single"/>
        </w:rPr>
        <w:t xml:space="preserve"> 15 </w:t>
      </w:r>
      <w:r>
        <w:rPr>
          <w:rFonts w:hint="eastAsia" w:ascii="宋体" w:hAnsi="宋体" w:cs="宋体"/>
          <w:sz w:val="24"/>
        </w:rPr>
        <w:t>个工作日内，甲方支付至合同结算价的</w:t>
      </w:r>
      <w:r>
        <w:rPr>
          <w:rFonts w:ascii="宋体" w:hAnsi="宋体" w:cs="宋体"/>
          <w:sz w:val="24"/>
        </w:rPr>
        <w:t>95%</w:t>
      </w:r>
      <w:r>
        <w:rPr>
          <w:rFonts w:hint="eastAsia" w:ascii="宋体" w:hAnsi="宋体" w:cs="宋体"/>
          <w:sz w:val="24"/>
        </w:rPr>
        <w:t>。</w:t>
      </w:r>
    </w:p>
    <w:p>
      <w:pPr>
        <w:spacing w:line="384" w:lineRule="auto"/>
        <w:ind w:firstLine="480" w:firstLineChars="200"/>
        <w:outlineLvl w:val="1"/>
        <w:rPr>
          <w:rFonts w:hint="eastAsia" w:hAnsi="宋体" w:cs="宋体"/>
          <w:sz w:val="24"/>
        </w:rPr>
      </w:pPr>
      <w:r>
        <w:rPr>
          <w:rFonts w:ascii="宋体" w:hAnsi="宋体" w:cs="宋体"/>
          <w:sz w:val="24"/>
        </w:rPr>
        <w:t>8.2.</w:t>
      </w:r>
      <w:r>
        <w:rPr>
          <w:rFonts w:hint="eastAsia" w:ascii="宋体" w:hAnsi="宋体" w:cs="宋体"/>
          <w:sz w:val="24"/>
        </w:rPr>
        <w:t>2</w:t>
      </w:r>
      <w:r>
        <w:rPr>
          <w:rFonts w:hint="eastAsia" w:hAnsi="宋体" w:cs="宋体"/>
          <w:sz w:val="24"/>
        </w:rPr>
        <w:t>质保期按合同第十条规定执行，质保期满后且乙方不存在违约情形，由乙方提交申请质保金退还资料</w:t>
      </w:r>
      <w:r>
        <w:rPr>
          <w:rFonts w:hAnsi="宋体" w:cs="宋体"/>
          <w:sz w:val="24"/>
          <w:u w:val="single"/>
        </w:rPr>
        <w:t xml:space="preserve"> 15 </w:t>
      </w:r>
      <w:r>
        <w:rPr>
          <w:rFonts w:hint="eastAsia" w:hAnsi="宋体" w:cs="宋体"/>
          <w:sz w:val="24"/>
        </w:rPr>
        <w:t>个工作日内，甲方支付合同结算价的</w:t>
      </w:r>
      <w:r>
        <w:rPr>
          <w:rFonts w:hAnsi="宋体" w:cs="宋体"/>
          <w:sz w:val="24"/>
        </w:rPr>
        <w:t>5</w:t>
      </w:r>
      <w:r>
        <w:rPr>
          <w:rFonts w:hint="eastAsia" w:hAnsi="宋体" w:cs="宋体"/>
          <w:sz w:val="24"/>
        </w:rPr>
        <w:t>％（质保金）给乙方（无息）。</w:t>
      </w:r>
    </w:p>
    <w:p>
      <w:pPr>
        <w:pStyle w:val="12"/>
        <w:spacing w:line="384" w:lineRule="auto"/>
        <w:ind w:firstLine="480" w:firstLineChars="200"/>
        <w:outlineLvl w:val="1"/>
        <w:rPr>
          <w:rFonts w:hint="default" w:hAnsi="宋体" w:eastAsia="宋体" w:cs="宋体"/>
          <w:sz w:val="24"/>
          <w:szCs w:val="24"/>
          <w:lang w:val="en-US" w:eastAsia="zh-CN"/>
        </w:rPr>
      </w:pPr>
      <w:r>
        <w:rPr>
          <w:rFonts w:hint="eastAsia" w:hAnsi="宋体" w:cs="宋体"/>
          <w:sz w:val="24"/>
          <w:szCs w:val="24"/>
          <w:lang w:val="en-US" w:eastAsia="zh-CN"/>
        </w:rPr>
        <w:t>8.2.3</w:t>
      </w:r>
      <w:r>
        <w:rPr>
          <w:rFonts w:hint="eastAsia" w:hAnsi="宋体" w:cs="宋体"/>
          <w:sz w:val="24"/>
          <w:szCs w:val="24"/>
        </w:rPr>
        <w:t>本项目工程款的支付单位为：</w:t>
      </w:r>
      <w:r>
        <w:rPr>
          <w:rFonts w:hint="eastAsia" w:hAnsi="宋体" w:cs="宋体"/>
          <w:sz w:val="24"/>
          <w:szCs w:val="24"/>
          <w:u w:val="single"/>
          <w:lang w:val="en-US" w:eastAsia="zh-CN"/>
        </w:rPr>
        <w:t xml:space="preserve"> … </w:t>
      </w:r>
    </w:p>
    <w:p>
      <w:pPr>
        <w:spacing w:line="384" w:lineRule="auto"/>
        <w:ind w:firstLine="480" w:firstLineChars="200"/>
        <w:rPr>
          <w:rFonts w:ascii="宋体" w:hAnsi="宋体" w:cs="宋体"/>
          <w:sz w:val="24"/>
          <w:u w:val="single"/>
        </w:rPr>
      </w:pPr>
      <w:r>
        <w:rPr>
          <w:rFonts w:ascii="宋体" w:hAnsi="宋体" w:cs="宋体"/>
          <w:sz w:val="24"/>
        </w:rPr>
        <w:t>8.3</w:t>
      </w:r>
      <w:r>
        <w:rPr>
          <w:rFonts w:hint="eastAsia" w:ascii="宋体" w:hAnsi="宋体" w:cs="宋体"/>
          <w:sz w:val="24"/>
        </w:rPr>
        <w:t>乙方收款账户：</w:t>
      </w:r>
      <w:r>
        <w:rPr>
          <w:rFonts w:hint="eastAsia" w:ascii="宋体" w:hAnsi="宋体" w:cs="宋体"/>
          <w:sz w:val="24"/>
          <w:u w:val="single"/>
          <w:lang w:eastAsia="zh-CN"/>
        </w:rPr>
        <w:t>…</w:t>
      </w:r>
      <w:r>
        <w:rPr>
          <w:rFonts w:hint="eastAsia" w:ascii="宋体" w:hAnsi="宋体" w:cs="宋体"/>
          <w:sz w:val="24"/>
          <w:u w:val="single"/>
        </w:rPr>
        <w:t>；</w:t>
      </w:r>
    </w:p>
    <w:p>
      <w:pPr>
        <w:spacing w:line="384" w:lineRule="auto"/>
        <w:ind w:firstLine="480" w:firstLineChars="200"/>
        <w:rPr>
          <w:rFonts w:ascii="宋体" w:hAnsi="宋体" w:cs="宋体"/>
          <w:sz w:val="24"/>
          <w:u w:val="single"/>
        </w:rPr>
      </w:pPr>
      <w:r>
        <w:rPr>
          <w:rFonts w:hint="eastAsia" w:ascii="宋体" w:hAnsi="宋体" w:cs="宋体"/>
          <w:sz w:val="24"/>
        </w:rPr>
        <w:t>收款账号：</w:t>
      </w:r>
      <w:r>
        <w:rPr>
          <w:rFonts w:hint="eastAsia" w:ascii="宋体" w:hAnsi="宋体" w:cs="宋体"/>
          <w:sz w:val="24"/>
          <w:u w:val="single"/>
          <w:lang w:eastAsia="zh-CN"/>
        </w:rPr>
        <w:t>…</w:t>
      </w:r>
      <w:r>
        <w:rPr>
          <w:rFonts w:hint="eastAsia" w:ascii="宋体" w:hAnsi="宋体" w:cs="宋体"/>
          <w:sz w:val="24"/>
          <w:u w:val="single"/>
        </w:rPr>
        <w:t>；</w:t>
      </w:r>
    </w:p>
    <w:p>
      <w:pPr>
        <w:spacing w:line="384" w:lineRule="auto"/>
        <w:ind w:firstLine="480" w:firstLineChars="200"/>
        <w:rPr>
          <w:rFonts w:ascii="宋体" w:hAnsi="宋体" w:cs="宋体"/>
          <w:sz w:val="24"/>
          <w:u w:val="single"/>
        </w:rPr>
      </w:pPr>
      <w:r>
        <w:rPr>
          <w:rFonts w:hint="eastAsia" w:ascii="宋体" w:hAnsi="宋体" w:cs="宋体"/>
          <w:sz w:val="24"/>
        </w:rPr>
        <w:t>开户行：</w:t>
      </w:r>
      <w:r>
        <w:rPr>
          <w:rFonts w:hint="eastAsia" w:ascii="宋体" w:hAnsi="宋体" w:cs="宋体"/>
          <w:sz w:val="24"/>
          <w:u w:val="single"/>
          <w:lang w:eastAsia="zh-CN"/>
        </w:rPr>
        <w:t>…</w:t>
      </w:r>
      <w:r>
        <w:rPr>
          <w:rFonts w:hint="eastAsia" w:ascii="宋体" w:hAnsi="宋体" w:cs="宋体"/>
          <w:sz w:val="24"/>
          <w:u w:val="single"/>
        </w:rPr>
        <w:t>；</w:t>
      </w:r>
    </w:p>
    <w:p>
      <w:pPr>
        <w:spacing w:line="384" w:lineRule="auto"/>
        <w:ind w:firstLine="480" w:firstLineChars="200"/>
        <w:rPr>
          <w:rFonts w:hint="eastAsia" w:ascii="宋体" w:hAnsi="宋体" w:cs="宋体"/>
          <w:sz w:val="24"/>
        </w:rPr>
      </w:pPr>
      <w:r>
        <w:rPr>
          <w:rFonts w:ascii="宋体" w:hAnsi="宋体" w:cs="宋体"/>
          <w:sz w:val="24"/>
        </w:rPr>
        <w:t>8.4</w:t>
      </w:r>
      <w:r>
        <w:rPr>
          <w:rFonts w:hint="eastAsia" w:ascii="宋体" w:hAnsi="宋体" w:cs="宋体"/>
          <w:sz w:val="24"/>
        </w:rPr>
        <w:t>乙方在收款前需提交等额增值税专用发票给甲方。增值税专用发票信息：</w:t>
      </w:r>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名称：广州</w:t>
      </w:r>
      <w:r>
        <w:rPr>
          <w:rFonts w:hint="eastAsia" w:ascii="宋体" w:hAnsi="宋体" w:eastAsia="宋体" w:cs="宋体"/>
          <w:color w:val="auto"/>
          <w:sz w:val="24"/>
          <w:szCs w:val="24"/>
          <w:highlight w:val="none"/>
          <w:lang w:val="en-US" w:eastAsia="zh-CN"/>
        </w:rPr>
        <w:t>从化</w:t>
      </w:r>
      <w:r>
        <w:rPr>
          <w:rFonts w:hint="eastAsia" w:ascii="宋体" w:hAnsi="宋体" w:eastAsia="宋体" w:cs="宋体"/>
          <w:color w:val="auto"/>
          <w:sz w:val="24"/>
          <w:szCs w:val="24"/>
          <w:highlight w:val="none"/>
        </w:rPr>
        <w:t>净水有限公司</w:t>
      </w:r>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税号：</w:t>
      </w:r>
      <w:r>
        <w:rPr>
          <w:rFonts w:hint="eastAsia" w:ascii="宋体" w:hAnsi="宋体" w:eastAsia="宋体" w:cs="宋体"/>
          <w:color w:val="auto"/>
          <w:sz w:val="24"/>
          <w:szCs w:val="24"/>
          <w:highlight w:val="none"/>
          <w:u w:val="single"/>
        </w:rPr>
        <w:t>91440101304391717G</w:t>
      </w:r>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地址及电话：</w:t>
      </w:r>
      <w:r>
        <w:rPr>
          <w:rFonts w:hint="eastAsia" w:ascii="宋体" w:hAnsi="宋体" w:eastAsia="宋体" w:cs="宋体"/>
          <w:color w:val="auto"/>
          <w:sz w:val="24"/>
          <w:szCs w:val="24"/>
          <w:highlight w:val="none"/>
          <w:u w:val="single"/>
        </w:rPr>
        <w:t>广州市</w:t>
      </w:r>
      <w:r>
        <w:rPr>
          <w:rFonts w:hint="eastAsia" w:ascii="宋体" w:hAnsi="宋体" w:eastAsia="宋体" w:cs="宋体"/>
          <w:color w:val="auto"/>
          <w:sz w:val="24"/>
          <w:szCs w:val="24"/>
          <w:highlight w:val="none"/>
          <w:u w:val="single"/>
          <w:lang w:val="en-US" w:eastAsia="zh-CN"/>
        </w:rPr>
        <w:t>从化</w:t>
      </w:r>
      <w:r>
        <w:rPr>
          <w:rFonts w:hint="eastAsia" w:ascii="宋体" w:hAnsi="宋体" w:eastAsia="宋体" w:cs="宋体"/>
          <w:color w:val="auto"/>
          <w:sz w:val="24"/>
          <w:szCs w:val="24"/>
          <w:highlight w:val="none"/>
          <w:u w:val="single"/>
        </w:rPr>
        <w:t>区</w:t>
      </w:r>
      <w:r>
        <w:rPr>
          <w:rFonts w:hint="eastAsia" w:ascii="宋体" w:hAnsi="宋体" w:eastAsia="宋体" w:cs="宋体"/>
          <w:color w:val="auto"/>
          <w:sz w:val="24"/>
          <w:szCs w:val="24"/>
          <w:highlight w:val="none"/>
          <w:u w:val="single"/>
          <w:lang w:val="en-US" w:eastAsia="zh-CN"/>
        </w:rPr>
        <w:t>温泉镇冲口路7</w:t>
      </w:r>
      <w:r>
        <w:rPr>
          <w:rFonts w:hint="eastAsia" w:ascii="宋体" w:hAnsi="宋体" w:eastAsia="宋体" w:cs="宋体"/>
          <w:color w:val="auto"/>
          <w:sz w:val="24"/>
          <w:szCs w:val="24"/>
          <w:highlight w:val="none"/>
          <w:u w:val="single"/>
        </w:rPr>
        <w:t>号 020-</w:t>
      </w:r>
      <w:r>
        <w:rPr>
          <w:rFonts w:hint="eastAsia" w:ascii="宋体" w:hAnsi="宋体" w:eastAsia="宋体" w:cs="宋体"/>
          <w:color w:val="auto"/>
          <w:sz w:val="24"/>
          <w:szCs w:val="24"/>
          <w:highlight w:val="none"/>
          <w:u w:val="single"/>
          <w:lang w:val="en-US" w:eastAsia="zh-CN"/>
        </w:rPr>
        <w:t>37984611</w:t>
      </w:r>
      <w:r>
        <w:rPr>
          <w:rFonts w:hint="eastAsia" w:ascii="宋体" w:hAnsi="宋体" w:eastAsia="宋体" w:cs="宋体"/>
          <w:color w:val="auto"/>
          <w:sz w:val="24"/>
          <w:szCs w:val="24"/>
          <w:highlight w:val="none"/>
        </w:rPr>
        <w:t>；</w:t>
      </w:r>
    </w:p>
    <w:p>
      <w:pPr>
        <w:spacing w:line="560" w:lineRule="exact"/>
        <w:ind w:firstLine="480" w:firstLineChars="200"/>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开户行/账号：</w:t>
      </w:r>
      <w:r>
        <w:rPr>
          <w:rFonts w:hint="eastAsia" w:ascii="宋体" w:hAnsi="宋体" w:eastAsia="宋体" w:cs="宋体"/>
          <w:color w:val="auto"/>
          <w:sz w:val="24"/>
          <w:szCs w:val="24"/>
          <w:highlight w:val="none"/>
          <w:u w:val="single"/>
          <w:lang w:val="en-US" w:eastAsia="zh-CN"/>
        </w:rPr>
        <w:t>工商银行从化荔香支行3602056209200103696。</w:t>
      </w:r>
    </w:p>
    <w:p>
      <w:pPr>
        <w:spacing w:line="384" w:lineRule="auto"/>
        <w:ind w:firstLine="480" w:firstLineChars="200"/>
        <w:outlineLvl w:val="0"/>
        <w:rPr>
          <w:rFonts w:ascii="宋体" w:hAnsi="宋体" w:cs="宋体"/>
          <w:sz w:val="24"/>
        </w:rPr>
      </w:pPr>
      <w:r>
        <w:rPr>
          <w:rFonts w:ascii="宋体" w:hAnsi="宋体" w:cs="宋体"/>
          <w:sz w:val="24"/>
        </w:rPr>
        <w:t>8.5</w:t>
      </w:r>
      <w:r>
        <w:rPr>
          <w:rFonts w:hint="eastAsia" w:ascii="宋体" w:hAnsi="宋体" w:cs="宋体"/>
          <w:sz w:val="24"/>
        </w:rPr>
        <w:t>履约担保：</w:t>
      </w:r>
      <w:r>
        <w:rPr>
          <w:rFonts w:hint="eastAsia" w:ascii="宋体" w:hAnsi="宋体" w:cs="宋体"/>
          <w:szCs w:val="21"/>
          <w:lang w:eastAsia="zh-CN"/>
        </w:rPr>
        <w:t>☑</w:t>
      </w:r>
      <w:r>
        <w:rPr>
          <w:rFonts w:hint="eastAsia" w:ascii="宋体" w:hAnsi="宋体" w:cs="宋体"/>
          <w:bCs/>
          <w:sz w:val="24"/>
        </w:rPr>
        <w:t>无；</w:t>
      </w:r>
      <w:r>
        <w:rPr>
          <w:rFonts w:hint="eastAsia" w:ascii="宋体" w:hAnsi="宋体" w:cs="宋体"/>
          <w:szCs w:val="21"/>
        </w:rPr>
        <w:t>□有,</w:t>
      </w:r>
      <w:r>
        <w:rPr>
          <w:rFonts w:hint="eastAsia" w:ascii="宋体" w:hAnsi="宋体" w:cs="宋体"/>
          <w:sz w:val="24"/>
        </w:rPr>
        <w:t>本合同签订后</w:t>
      </w:r>
      <w:r>
        <w:rPr>
          <w:rFonts w:ascii="宋体" w:hAnsi="宋体" w:cs="宋体"/>
          <w:sz w:val="24"/>
        </w:rPr>
        <w:t>10</w:t>
      </w:r>
      <w:r>
        <w:rPr>
          <w:rFonts w:hint="eastAsia" w:ascii="宋体" w:hAnsi="宋体" w:cs="宋体"/>
          <w:sz w:val="24"/>
        </w:rPr>
        <w:t>日内</w:t>
      </w:r>
      <w:r>
        <w:rPr>
          <w:rFonts w:hint="eastAsia" w:ascii="宋体" w:hAnsi="宋体" w:cs="宋体"/>
          <w:sz w:val="24"/>
          <w:u w:val="single"/>
        </w:rPr>
        <w:t>以合同暂定总价的</w:t>
      </w:r>
      <w:r>
        <w:rPr>
          <w:rFonts w:ascii="宋体" w:hAnsi="宋体" w:cs="宋体"/>
          <w:sz w:val="24"/>
          <w:u w:val="single"/>
        </w:rPr>
        <w:t>10%</w:t>
      </w:r>
      <w:r>
        <w:rPr>
          <w:rFonts w:hint="eastAsia" w:ascii="宋体" w:hAnsi="宋体" w:cs="宋体"/>
          <w:sz w:val="24"/>
          <w:u w:val="single"/>
        </w:rPr>
        <w:t>作为履约保证金，</w:t>
      </w:r>
      <w:r>
        <w:rPr>
          <w:rFonts w:hint="eastAsia" w:ascii="宋体" w:hAnsi="宋体" w:cs="宋体"/>
          <w:sz w:val="24"/>
        </w:rPr>
        <w:t>金额为：</w:t>
      </w:r>
      <w:r>
        <w:rPr>
          <w:rFonts w:hint="eastAsia" w:ascii="宋体" w:hAnsi="宋体" w:cs="宋体"/>
          <w:sz w:val="24"/>
          <w:lang w:eastAsia="zh-CN"/>
        </w:rPr>
        <w:t>…</w:t>
      </w:r>
      <w:r>
        <w:rPr>
          <w:rFonts w:hint="eastAsia" w:ascii="宋体" w:hAnsi="宋体" w:cs="宋体"/>
          <w:sz w:val="24"/>
          <w:u w:val="single"/>
        </w:rPr>
        <w:t>（大写人民币：</w:t>
      </w:r>
      <w:r>
        <w:rPr>
          <w:rFonts w:hint="eastAsia" w:ascii="宋体" w:hAnsi="宋体" w:cs="宋体"/>
          <w:sz w:val="24"/>
          <w:u w:val="single"/>
          <w:lang w:eastAsia="zh-CN"/>
        </w:rPr>
        <w:t>…</w:t>
      </w:r>
      <w:r>
        <w:rPr>
          <w:rFonts w:hint="eastAsia" w:ascii="宋体" w:hAnsi="宋体" w:cs="宋体"/>
          <w:sz w:val="24"/>
          <w:u w:val="single"/>
        </w:rPr>
        <w:t>），</w:t>
      </w:r>
      <w:r>
        <w:rPr>
          <w:rFonts w:hint="eastAsia" w:ascii="宋体" w:hAnsi="宋体" w:cs="宋体"/>
          <w:sz w:val="24"/>
        </w:rPr>
        <w:t>未按时提供的，甲方有权解除合同并要求乙方支付</w:t>
      </w:r>
      <w:r>
        <w:rPr>
          <w:rFonts w:hint="eastAsia" w:ascii="宋体" w:hAnsi="宋体" w:cs="宋体"/>
          <w:sz w:val="24"/>
          <w:u w:val="single"/>
        </w:rPr>
        <w:t>合同暂定总价</w:t>
      </w:r>
      <w:r>
        <w:rPr>
          <w:rFonts w:ascii="宋体" w:hAnsi="宋体" w:cs="宋体"/>
          <w:sz w:val="24"/>
          <w:u w:val="single"/>
        </w:rPr>
        <w:t>20%</w:t>
      </w:r>
      <w:r>
        <w:rPr>
          <w:rFonts w:hint="eastAsia" w:ascii="宋体" w:hAnsi="宋体" w:cs="宋体"/>
          <w:sz w:val="24"/>
        </w:rPr>
        <w:t>作为违约金。</w:t>
      </w:r>
    </w:p>
    <w:p>
      <w:pPr>
        <w:pStyle w:val="21"/>
        <w:spacing w:before="0" w:beforeAutospacing="0" w:after="0" w:afterAutospacing="0" w:line="384" w:lineRule="auto"/>
        <w:ind w:firstLine="480" w:firstLineChars="200"/>
      </w:pPr>
      <w:r>
        <w:rPr>
          <w:rFonts w:cs="宋体"/>
          <w:color w:val="auto"/>
        </w:rPr>
        <w:t>8.5.1</w:t>
      </w:r>
      <w:r>
        <w:t>履约担保</w:t>
      </w:r>
      <w:r>
        <w:rPr>
          <w:rFonts w:hint="eastAsia"/>
        </w:rPr>
        <w:t>按以下任一种形式提供</w:t>
      </w:r>
      <w:r>
        <w:t>：</w:t>
      </w:r>
    </w:p>
    <w:p>
      <w:pPr>
        <w:pStyle w:val="21"/>
        <w:spacing w:before="0" w:beforeAutospacing="0" w:after="0" w:afterAutospacing="0" w:line="360" w:lineRule="auto"/>
        <w:ind w:firstLine="480"/>
      </w:pPr>
      <w:r>
        <w:rPr>
          <w:rFonts w:hint="eastAsia"/>
        </w:rPr>
        <w:t>（1）符合甲方要求（详见附件7保函格式）的银行独立保函，</w:t>
      </w:r>
    </w:p>
    <w:p>
      <w:pPr>
        <w:pStyle w:val="21"/>
        <w:spacing w:before="0" w:beforeAutospacing="0" w:after="0" w:afterAutospacing="0" w:line="360" w:lineRule="auto"/>
        <w:ind w:firstLine="480"/>
      </w:pPr>
      <w:r>
        <w:rPr>
          <w:rFonts w:hint="eastAsia"/>
        </w:rPr>
        <w:t>（2）现金转账至甲方以下指定账户：</w:t>
      </w:r>
    </w:p>
    <w:p>
      <w:pPr>
        <w:tabs>
          <w:tab w:val="left" w:pos="1995"/>
        </w:tabs>
        <w:spacing w:line="384" w:lineRule="auto"/>
        <w:ind w:firstLine="480" w:firstLineChars="200"/>
        <w:rPr>
          <w:rFonts w:ascii="宋体" w:hAnsi="宋体" w:cs="宋体"/>
          <w:bCs/>
          <w:sz w:val="24"/>
        </w:rPr>
      </w:pPr>
      <w:r>
        <w:rPr>
          <w:rFonts w:hint="eastAsia" w:ascii="宋体" w:hAnsi="宋体" w:cs="宋体"/>
          <w:bCs/>
          <w:sz w:val="24"/>
        </w:rPr>
        <w:t>户名：</w:t>
      </w:r>
      <w:r>
        <w:rPr>
          <w:rFonts w:hint="eastAsia" w:ascii="宋体" w:hAnsi="宋体" w:cs="宋体"/>
          <w:bCs/>
          <w:sz w:val="24"/>
          <w:lang w:eastAsia="zh-CN"/>
        </w:rPr>
        <w:t>广州从化净水</w:t>
      </w:r>
      <w:r>
        <w:rPr>
          <w:rFonts w:hint="eastAsia" w:ascii="宋体" w:hAnsi="宋体" w:cs="宋体"/>
          <w:bCs/>
          <w:sz w:val="24"/>
        </w:rPr>
        <w:t>有限公司</w:t>
      </w:r>
    </w:p>
    <w:p>
      <w:pPr>
        <w:tabs>
          <w:tab w:val="left" w:pos="1995"/>
        </w:tabs>
        <w:spacing w:line="384" w:lineRule="auto"/>
        <w:ind w:firstLine="480" w:firstLineChars="200"/>
        <w:rPr>
          <w:rFonts w:ascii="宋体" w:hAnsi="宋体" w:cs="宋体"/>
          <w:bCs/>
          <w:sz w:val="24"/>
        </w:rPr>
      </w:pPr>
      <w:r>
        <w:rPr>
          <w:rFonts w:hint="eastAsia" w:ascii="宋体" w:hAnsi="宋体" w:cs="宋体"/>
          <w:bCs/>
          <w:sz w:val="24"/>
        </w:rPr>
        <w:t>账号：</w:t>
      </w:r>
      <w:r>
        <w:rPr>
          <w:rFonts w:hint="eastAsia"/>
          <w:sz w:val="24"/>
        </w:rPr>
        <w:t>3602 0562 0920 0103 696</w:t>
      </w:r>
    </w:p>
    <w:p>
      <w:pPr>
        <w:tabs>
          <w:tab w:val="left" w:pos="1995"/>
        </w:tabs>
        <w:spacing w:line="384" w:lineRule="auto"/>
        <w:ind w:firstLine="480" w:firstLineChars="200"/>
        <w:rPr>
          <w:rFonts w:ascii="宋体" w:hAnsi="宋体" w:cs="宋体"/>
          <w:bCs/>
          <w:sz w:val="24"/>
        </w:rPr>
      </w:pPr>
      <w:r>
        <w:rPr>
          <w:rFonts w:hint="eastAsia" w:ascii="宋体" w:hAnsi="宋体" w:cs="宋体"/>
          <w:bCs/>
          <w:sz w:val="24"/>
        </w:rPr>
        <w:t>开户行：</w:t>
      </w:r>
      <w:r>
        <w:rPr>
          <w:rFonts w:hint="eastAsia"/>
          <w:sz w:val="24"/>
        </w:rPr>
        <w:t>工商银行广州从化荔香支行</w:t>
      </w:r>
    </w:p>
    <w:p>
      <w:pPr>
        <w:spacing w:line="384" w:lineRule="auto"/>
        <w:ind w:firstLine="480" w:firstLineChars="200"/>
        <w:outlineLvl w:val="0"/>
        <w:rPr>
          <w:rFonts w:ascii="宋体" w:hAnsi="宋体" w:cs="宋体"/>
          <w:sz w:val="24"/>
        </w:rPr>
      </w:pPr>
      <w:r>
        <w:rPr>
          <w:rFonts w:ascii="宋体" w:hAnsi="宋体" w:cs="宋体"/>
          <w:sz w:val="24"/>
        </w:rPr>
        <w:t>8.5.2</w:t>
      </w:r>
      <w:r>
        <w:rPr>
          <w:rFonts w:hint="eastAsia" w:ascii="宋体" w:hAnsi="宋体" w:cs="宋体"/>
          <w:sz w:val="24"/>
        </w:rPr>
        <w:t>履约担保的担保期限和返还</w:t>
      </w:r>
    </w:p>
    <w:p>
      <w:pPr>
        <w:spacing w:line="384" w:lineRule="auto"/>
        <w:ind w:firstLine="480"/>
        <w:outlineLvl w:val="0"/>
        <w:rPr>
          <w:rFonts w:ascii="宋体" w:hAnsi="宋体" w:cs="宋体"/>
          <w:sz w:val="24"/>
        </w:rPr>
      </w:pPr>
      <w:r>
        <w:rPr>
          <w:rFonts w:hint="eastAsia" w:ascii="宋体" w:hAnsi="宋体" w:cs="宋体"/>
          <w:sz w:val="24"/>
        </w:rPr>
        <w:t>⑴履约银行保函（或现金履约保证金）的担保期限：从提供履约担保（或转账成功）之日起至合同履行完成。</w:t>
      </w:r>
    </w:p>
    <w:p>
      <w:pPr>
        <w:spacing w:line="384" w:lineRule="auto"/>
        <w:ind w:firstLine="480" w:firstLineChars="200"/>
        <w:rPr>
          <w:rFonts w:ascii="宋体" w:hAnsi="宋体" w:cs="宋体"/>
          <w:sz w:val="24"/>
        </w:rPr>
      </w:pPr>
      <w:r>
        <w:rPr>
          <w:rFonts w:hint="eastAsia" w:ascii="宋体" w:hAnsi="宋体" w:cs="宋体"/>
          <w:sz w:val="24"/>
        </w:rPr>
        <w:t>⑵履约银行保函在合同履行完成后，由乙方提出申请，甲方在28日内返还，不支付利息：</w:t>
      </w:r>
    </w:p>
    <w:p>
      <w:pPr>
        <w:spacing w:line="384" w:lineRule="auto"/>
        <w:ind w:firstLine="600" w:firstLineChars="250"/>
        <w:outlineLvl w:val="0"/>
        <w:rPr>
          <w:rFonts w:ascii="宋体" w:hAnsi="宋体" w:cs="宋体"/>
          <w:sz w:val="24"/>
        </w:rPr>
      </w:pPr>
      <w:r>
        <w:rPr>
          <w:rFonts w:hint="eastAsia" w:ascii="宋体" w:hAnsi="宋体" w:cs="宋体"/>
          <w:sz w:val="24"/>
        </w:rPr>
        <w:t>⑶延长担保期限。乙方以履约银行保函形式提交履约保证金的，在银行保函到期前，乙方应提前</w:t>
      </w:r>
      <w:r>
        <w:rPr>
          <w:rFonts w:ascii="宋体" w:hAnsi="宋体" w:cs="宋体"/>
          <w:sz w:val="24"/>
          <w:u w:val="single"/>
        </w:rPr>
        <w:t xml:space="preserve"> 7 </w:t>
      </w:r>
      <w:r>
        <w:rPr>
          <w:rFonts w:hint="eastAsia" w:ascii="宋体" w:hAnsi="宋体" w:cs="宋体"/>
          <w:sz w:val="24"/>
        </w:rPr>
        <w:t>日向甲方提交新的保函以替换即将到期的保函。如乙方未及时提交的，甲方有权直接要求担保银行支付其担保的全部金额并解除合同。</w:t>
      </w:r>
    </w:p>
    <w:p>
      <w:pPr>
        <w:pStyle w:val="21"/>
        <w:spacing w:before="0" w:beforeAutospacing="0" w:after="0" w:afterAutospacing="0" w:line="384" w:lineRule="auto"/>
        <w:ind w:left="199" w:leftChars="95" w:firstLine="360" w:firstLineChars="150"/>
        <w:rPr>
          <w:rFonts w:cs="宋体"/>
          <w:color w:val="auto"/>
          <w:u w:val="single"/>
        </w:rPr>
      </w:pPr>
      <w:r>
        <w:rPr>
          <w:rFonts w:hint="eastAsia" w:cs="宋体"/>
          <w:color w:val="auto"/>
        </w:rPr>
        <w:t>（</w:t>
      </w:r>
      <w:r>
        <w:rPr>
          <w:rFonts w:cs="宋体"/>
          <w:color w:val="auto"/>
        </w:rPr>
        <w:t>4</w:t>
      </w:r>
      <w:r>
        <w:rPr>
          <w:rFonts w:hint="eastAsia" w:cs="宋体"/>
          <w:color w:val="auto"/>
        </w:rPr>
        <w:t>）现金履约保证金的退还：合同履行完成后，由乙方提出申请，甲方在</w:t>
      </w:r>
      <w:r>
        <w:rPr>
          <w:rFonts w:hint="eastAsia" w:cs="宋体"/>
          <w:color w:val="auto"/>
          <w:u w:val="single"/>
        </w:rPr>
        <w:t>28日</w:t>
      </w:r>
      <w:r>
        <w:rPr>
          <w:rFonts w:hint="eastAsia" w:cs="宋体"/>
          <w:color w:val="auto"/>
        </w:rPr>
        <w:t>内将剩余保证金（无息）返还。</w:t>
      </w:r>
    </w:p>
    <w:p>
      <w:pPr>
        <w:spacing w:line="384" w:lineRule="auto"/>
        <w:ind w:firstLine="480" w:firstLineChars="200"/>
        <w:rPr>
          <w:rFonts w:ascii="宋体" w:hAnsi="宋体" w:cs="宋体"/>
          <w:sz w:val="24"/>
        </w:rPr>
      </w:pPr>
      <w:r>
        <w:rPr>
          <w:rFonts w:ascii="宋体" w:hAnsi="宋体" w:cs="宋体"/>
          <w:sz w:val="24"/>
        </w:rPr>
        <w:t>8.5.3</w:t>
      </w:r>
      <w:r>
        <w:rPr>
          <w:rFonts w:hint="eastAsia" w:ascii="宋体" w:hAnsi="宋体" w:cs="宋体"/>
          <w:sz w:val="24"/>
        </w:rPr>
        <w:t>甲方按本合同规定提取履约担保金额后，乙方应在收到甲方通知后</w:t>
      </w:r>
    </w:p>
    <w:p>
      <w:pPr>
        <w:spacing w:line="384" w:lineRule="auto"/>
        <w:rPr>
          <w:rFonts w:ascii="宋体" w:hAnsi="宋体" w:cs="宋体"/>
          <w:sz w:val="24"/>
        </w:rPr>
      </w:pPr>
      <w:r>
        <w:rPr>
          <w:rFonts w:ascii="宋体" w:hAnsi="宋体" w:cs="宋体"/>
          <w:sz w:val="24"/>
          <w:u w:val="single"/>
        </w:rPr>
        <w:t xml:space="preserve">  7  </w:t>
      </w:r>
      <w:r>
        <w:rPr>
          <w:rFonts w:hint="eastAsia" w:ascii="宋体" w:hAnsi="宋体" w:cs="宋体"/>
          <w:sz w:val="24"/>
        </w:rPr>
        <w:t>日内补足数额，逾期未补足的，则甲方有权提取履约担保的全部余额并解除合同。</w:t>
      </w:r>
    </w:p>
    <w:p>
      <w:pPr>
        <w:tabs>
          <w:tab w:val="left" w:pos="851"/>
        </w:tabs>
        <w:adjustRightInd w:val="0"/>
        <w:snapToGrid w:val="0"/>
        <w:spacing w:line="360" w:lineRule="auto"/>
        <w:ind w:firstLine="480" w:firstLineChars="200"/>
        <w:jc w:val="left"/>
        <w:outlineLvl w:val="1"/>
        <w:rPr>
          <w:rFonts w:asciiTheme="minorEastAsia" w:hAnsiTheme="minorEastAsia" w:eastAsiaTheme="minorEastAsia" w:cstheme="minorEastAsia"/>
          <w:bCs/>
          <w:sz w:val="24"/>
          <w:bdr w:val="single" w:color="auto" w:sz="4" w:space="0"/>
        </w:rPr>
      </w:pPr>
      <w:r>
        <w:rPr>
          <w:rFonts w:hAnsi="宋体" w:cs="宋体"/>
          <w:sz w:val="24"/>
        </w:rPr>
        <w:t>8.6</w:t>
      </w:r>
      <w:r>
        <w:rPr>
          <w:rFonts w:hint="eastAsia" w:asciiTheme="minorEastAsia" w:hAnsiTheme="minorEastAsia" w:eastAsiaTheme="minorEastAsia" w:cstheme="minorEastAsia"/>
          <w:sz w:val="24"/>
        </w:rPr>
        <w:t xml:space="preserve">付款方式： </w:t>
      </w:r>
      <w:r>
        <w:rPr>
          <w:rFonts w:hint="eastAsia" w:asciiTheme="minorEastAsia" w:hAnsiTheme="minorEastAsia" w:eastAsiaTheme="minorEastAsia" w:cstheme="minorEastAsia"/>
          <w:sz w:val="24"/>
        </w:rPr>
        <w:sym w:font="Wingdings" w:char="00FE"/>
      </w:r>
      <w:r>
        <w:rPr>
          <w:rFonts w:hint="eastAsia" w:asciiTheme="minorEastAsia" w:hAnsiTheme="minorEastAsia" w:eastAsiaTheme="minorEastAsia" w:cstheme="minorEastAsia"/>
          <w:sz w:val="24"/>
        </w:rPr>
        <w:t xml:space="preserve">网银支付；  </w:t>
      </w:r>
      <w:r>
        <w:rPr>
          <w:rFonts w:hint="eastAsia" w:asciiTheme="minorEastAsia" w:hAnsiTheme="minorEastAsia" w:eastAsiaTheme="minorEastAsia" w:cstheme="minorEastAsia"/>
          <w:sz w:val="24"/>
        </w:rPr>
        <w:sym w:font="Wingdings" w:char="00A8"/>
      </w:r>
      <w:r>
        <w:rPr>
          <w:rFonts w:hint="eastAsia" w:asciiTheme="minorEastAsia" w:hAnsiTheme="minorEastAsia" w:eastAsiaTheme="minorEastAsia" w:cstheme="minorEastAsia"/>
          <w:sz w:val="24"/>
        </w:rPr>
        <w:t xml:space="preserve">支票；   </w:t>
      </w:r>
      <w:r>
        <w:rPr>
          <w:rFonts w:hint="eastAsia" w:asciiTheme="minorEastAsia" w:hAnsiTheme="minorEastAsia" w:eastAsiaTheme="minorEastAsia" w:cstheme="minorEastAsia"/>
          <w:sz w:val="24"/>
        </w:rPr>
        <w:sym w:font="Wingdings" w:char="00A8"/>
      </w:r>
      <w:r>
        <w:rPr>
          <w:rFonts w:hint="eastAsia" w:asciiTheme="minorEastAsia" w:hAnsiTheme="minorEastAsia" w:eastAsiaTheme="minorEastAsia" w:cstheme="minorEastAsia"/>
          <w:sz w:val="24"/>
        </w:rPr>
        <w:t>其他：</w:t>
      </w:r>
    </w:p>
    <w:p>
      <w:pPr>
        <w:pStyle w:val="12"/>
        <w:spacing w:line="384" w:lineRule="auto"/>
        <w:ind w:firstLine="720" w:firstLineChars="300"/>
        <w:outlineLvl w:val="1"/>
        <w:rPr>
          <w:rFonts w:hint="eastAsia" w:hAnsi="宋体" w:cs="宋体"/>
          <w:sz w:val="24"/>
          <w:szCs w:val="24"/>
        </w:rPr>
      </w:pPr>
      <w:r>
        <w:rPr>
          <w:rFonts w:hint="eastAsia" w:hAnsi="宋体" w:cs="宋体"/>
          <w:sz w:val="24"/>
          <w:szCs w:val="24"/>
        </w:rPr>
        <w:t>（建议采用网银支付</w:t>
      </w:r>
      <w:r>
        <w:rPr>
          <w:rFonts w:hint="eastAsia" w:hAnsi="宋体" w:cs="宋体"/>
          <w:sz w:val="24"/>
        </w:rPr>
        <w:t>、</w:t>
      </w:r>
      <w:r>
        <w:rPr>
          <w:rFonts w:hint="eastAsia" w:hAnsi="宋体" w:cs="宋体"/>
          <w:sz w:val="24"/>
          <w:szCs w:val="24"/>
        </w:rPr>
        <w:t>支票两种形式</w:t>
      </w:r>
      <w:r>
        <w:rPr>
          <w:rFonts w:hint="eastAsia" w:hAnsi="宋体" w:cs="宋体"/>
          <w:sz w:val="24"/>
        </w:rPr>
        <w:t>中之一</w:t>
      </w:r>
      <w:r>
        <w:rPr>
          <w:rFonts w:hint="eastAsia" w:hAnsi="宋体" w:cs="宋体"/>
          <w:sz w:val="24"/>
          <w:szCs w:val="24"/>
        </w:rPr>
        <w:t>）。</w:t>
      </w:r>
    </w:p>
    <w:p>
      <w:pPr>
        <w:spacing w:line="384" w:lineRule="auto"/>
        <w:ind w:firstLine="482" w:firstLineChars="200"/>
        <w:rPr>
          <w:rFonts w:ascii="宋体" w:hAnsi="宋体" w:cs="宋体"/>
          <w:b/>
          <w:bCs/>
          <w:sz w:val="24"/>
        </w:rPr>
      </w:pPr>
      <w:r>
        <w:rPr>
          <w:rFonts w:hint="eastAsia" w:ascii="宋体" w:hAnsi="宋体" w:cs="宋体"/>
          <w:b/>
          <w:bCs/>
          <w:sz w:val="24"/>
        </w:rPr>
        <w:t>第九条竣工验收</w:t>
      </w:r>
    </w:p>
    <w:p>
      <w:pPr>
        <w:spacing w:line="384" w:lineRule="auto"/>
        <w:ind w:firstLine="480" w:firstLineChars="200"/>
        <w:rPr>
          <w:rFonts w:ascii="宋体" w:hAnsi="宋体" w:cs="宋体"/>
          <w:sz w:val="24"/>
        </w:rPr>
      </w:pPr>
      <w:r>
        <w:rPr>
          <w:rFonts w:ascii="宋体" w:hAnsi="宋体" w:cs="宋体"/>
          <w:sz w:val="24"/>
        </w:rPr>
        <w:t>9.1</w:t>
      </w:r>
      <w:r>
        <w:rPr>
          <w:rFonts w:hint="eastAsia" w:ascii="宋体" w:hAnsi="宋体" w:cs="宋体"/>
          <w:sz w:val="24"/>
        </w:rPr>
        <w:t>乙方应在工程完工后</w:t>
      </w:r>
      <w:r>
        <w:rPr>
          <w:rFonts w:ascii="宋体" w:hAnsi="宋体" w:cs="宋体"/>
          <w:sz w:val="24"/>
        </w:rPr>
        <w:t>30</w:t>
      </w:r>
      <w:r>
        <w:rPr>
          <w:rFonts w:hint="eastAsia" w:ascii="宋体" w:hAnsi="宋体" w:cs="宋体"/>
          <w:sz w:val="24"/>
        </w:rPr>
        <w:t>天内将经甲方审核的完整竣工资料（含竣工图）和竣工验收报告各</w:t>
      </w:r>
      <w:r>
        <w:rPr>
          <w:rFonts w:hint="eastAsia" w:ascii="宋体" w:hAnsi="宋体" w:cs="宋体"/>
          <w:sz w:val="24"/>
          <w:u w:val="single"/>
        </w:rPr>
        <w:t>一式四份</w:t>
      </w:r>
      <w:r>
        <w:rPr>
          <w:rFonts w:hint="eastAsia" w:ascii="宋体" w:hAnsi="宋体" w:cs="宋体"/>
          <w:sz w:val="24"/>
        </w:rPr>
        <w:t>交甲方，不按时报送工程竣工资料的，每逾期一天，甲方要求乙方支付</w:t>
      </w:r>
      <w:r>
        <w:rPr>
          <w:rFonts w:hint="eastAsia" w:ascii="宋体" w:hAnsi="宋体" w:cs="宋体"/>
          <w:sz w:val="24"/>
          <w:u w:val="single"/>
        </w:rPr>
        <w:t>合同暂定总价</w:t>
      </w:r>
      <w:r>
        <w:rPr>
          <w:rFonts w:hint="eastAsia" w:ascii="宋体" w:hAnsi="宋体" w:cs="宋体"/>
          <w:bCs/>
          <w:sz w:val="24"/>
          <w:u w:val="single"/>
        </w:rPr>
        <w:t>万分之五</w:t>
      </w:r>
      <w:r>
        <w:rPr>
          <w:rFonts w:ascii="宋体" w:hAnsi="宋体" w:cs="宋体"/>
          <w:bCs/>
          <w:sz w:val="24"/>
          <w:u w:val="single"/>
        </w:rPr>
        <w:t>/</w:t>
      </w:r>
      <w:r>
        <w:rPr>
          <w:rFonts w:hint="eastAsia" w:ascii="宋体" w:hAnsi="宋体" w:cs="宋体"/>
          <w:bCs/>
          <w:sz w:val="24"/>
          <w:u w:val="single"/>
        </w:rPr>
        <w:t>天</w:t>
      </w:r>
      <w:r>
        <w:rPr>
          <w:rFonts w:hint="eastAsia" w:ascii="宋体" w:hAnsi="宋体" w:cs="宋体"/>
          <w:sz w:val="24"/>
        </w:rPr>
        <w:t>，并在支付合同款时抵扣。</w:t>
      </w:r>
    </w:p>
    <w:p>
      <w:pPr>
        <w:spacing w:line="384" w:lineRule="auto"/>
        <w:ind w:firstLine="480" w:firstLineChars="200"/>
        <w:rPr>
          <w:rFonts w:ascii="宋体" w:hAnsi="宋体" w:cs="宋体"/>
          <w:sz w:val="24"/>
        </w:rPr>
      </w:pPr>
      <w:r>
        <w:rPr>
          <w:rFonts w:ascii="宋体" w:hAnsi="宋体" w:cs="宋体"/>
          <w:sz w:val="24"/>
        </w:rPr>
        <w:t>9.2</w:t>
      </w:r>
      <w:r>
        <w:rPr>
          <w:rFonts w:hint="eastAsia" w:ascii="宋体" w:hAnsi="宋体" w:cs="宋体"/>
          <w:sz w:val="24"/>
        </w:rPr>
        <w:t>甲方收到完整的竣工验收资料（完整的竣工验收资料：施工方案、开工</w:t>
      </w:r>
      <w:r>
        <w:rPr>
          <w:rFonts w:ascii="宋体" w:hAnsi="宋体" w:cs="宋体"/>
          <w:sz w:val="24"/>
        </w:rPr>
        <w:t>/</w:t>
      </w:r>
      <w:r>
        <w:rPr>
          <w:rFonts w:hint="eastAsia" w:ascii="宋体" w:hAnsi="宋体" w:cs="宋体"/>
          <w:sz w:val="24"/>
        </w:rPr>
        <w:t>竣工报告、安全备案整套资料、本合同书、询价文件</w:t>
      </w:r>
      <w:r>
        <w:rPr>
          <w:rFonts w:ascii="宋体" w:hAnsi="宋体" w:cs="宋体"/>
          <w:sz w:val="24"/>
        </w:rPr>
        <w:t>/</w:t>
      </w:r>
      <w:r>
        <w:rPr>
          <w:rFonts w:hint="eastAsia" w:ascii="宋体" w:hAnsi="宋体" w:cs="宋体"/>
          <w:sz w:val="24"/>
        </w:rPr>
        <w:t>响应文件、中标通知书</w:t>
      </w:r>
      <w:r>
        <w:rPr>
          <w:rFonts w:ascii="宋体" w:hAnsi="宋体" w:cs="宋体"/>
          <w:sz w:val="24"/>
        </w:rPr>
        <w:t>/</w:t>
      </w:r>
      <w:r>
        <w:rPr>
          <w:rFonts w:hint="eastAsia" w:ascii="宋体" w:hAnsi="宋体" w:cs="宋体"/>
          <w:sz w:val="24"/>
        </w:rPr>
        <w:t>发包通知书</w:t>
      </w:r>
      <w:r>
        <w:rPr>
          <w:rFonts w:ascii="宋体" w:hAnsi="宋体" w:cs="宋体"/>
          <w:sz w:val="24"/>
        </w:rPr>
        <w:t>/</w:t>
      </w:r>
      <w:r>
        <w:rPr>
          <w:rFonts w:hint="eastAsia" w:ascii="宋体" w:hAnsi="宋体" w:cs="宋体"/>
          <w:sz w:val="24"/>
        </w:rPr>
        <w:t>委托书、工程预算送审报告、工程结算书</w:t>
      </w:r>
      <w:r>
        <w:rPr>
          <w:rFonts w:ascii="宋体" w:hAnsi="宋体" w:cs="宋体"/>
          <w:sz w:val="24"/>
        </w:rPr>
        <w:t>/</w:t>
      </w:r>
      <w:r>
        <w:rPr>
          <w:rFonts w:hint="eastAsia" w:ascii="宋体" w:hAnsi="宋体" w:cs="宋体"/>
          <w:sz w:val="24"/>
        </w:rPr>
        <w:t>签证记录、备件开箱记录表或送货单、竣工图等，如有必须提供）和竣工验收报告后</w:t>
      </w:r>
      <w:r>
        <w:rPr>
          <w:rFonts w:ascii="宋体" w:hAnsi="宋体" w:cs="宋体"/>
          <w:sz w:val="24"/>
        </w:rPr>
        <w:t>20</w:t>
      </w:r>
      <w:r>
        <w:rPr>
          <w:rFonts w:hint="eastAsia" w:ascii="宋体" w:hAnsi="宋体" w:cs="宋体"/>
          <w:sz w:val="24"/>
        </w:rPr>
        <w:t>天内组织有关单位进行验收，工程竣工验收严格按国家、省、市、部门有关文件执行，并在验收后</w:t>
      </w:r>
      <w:r>
        <w:rPr>
          <w:rFonts w:ascii="宋体" w:hAnsi="宋体" w:cs="宋体"/>
          <w:sz w:val="24"/>
        </w:rPr>
        <w:t>10</w:t>
      </w:r>
      <w:r>
        <w:rPr>
          <w:rFonts w:hint="eastAsia" w:ascii="宋体" w:hAnsi="宋体" w:cs="宋体"/>
          <w:sz w:val="24"/>
        </w:rPr>
        <w:t>天内给予认可或提出修改意见。乙方按要求修改，并承担修改的费用。</w:t>
      </w:r>
    </w:p>
    <w:p>
      <w:pPr>
        <w:spacing w:line="384" w:lineRule="auto"/>
        <w:ind w:firstLine="480" w:firstLineChars="200"/>
        <w:rPr>
          <w:rFonts w:ascii="宋体" w:hAnsi="宋体" w:cs="宋体"/>
          <w:sz w:val="24"/>
        </w:rPr>
      </w:pPr>
      <w:r>
        <w:rPr>
          <w:rFonts w:ascii="宋体" w:hAnsi="宋体" w:cs="宋体"/>
          <w:sz w:val="24"/>
        </w:rPr>
        <w:t>9.3</w:t>
      </w:r>
      <w:r>
        <w:rPr>
          <w:rFonts w:hint="eastAsia" w:ascii="宋体" w:hAnsi="宋体" w:cs="宋体"/>
          <w:sz w:val="24"/>
        </w:rPr>
        <w:t>工程竣工验收通过，乙方送交完整的竣工验收资料和竣工验收报告的日期为实际竣工日期。工程按甲方要求修改后通过竣工验收的，实际竣工日期为乙方修改后提请甲方验收的日期。</w:t>
      </w:r>
    </w:p>
    <w:p>
      <w:pPr>
        <w:spacing w:line="384" w:lineRule="auto"/>
        <w:ind w:firstLine="480" w:firstLineChars="200"/>
        <w:rPr>
          <w:rFonts w:ascii="宋体" w:hAnsi="宋体" w:cs="宋体"/>
          <w:sz w:val="24"/>
        </w:rPr>
      </w:pPr>
      <w:r>
        <w:rPr>
          <w:rFonts w:ascii="宋体" w:hAnsi="宋体" w:cs="宋体"/>
          <w:sz w:val="24"/>
        </w:rPr>
        <w:t>9.4</w:t>
      </w:r>
      <w:r>
        <w:rPr>
          <w:rFonts w:hint="eastAsia" w:ascii="宋体" w:hAnsi="宋体" w:cs="宋体"/>
          <w:sz w:val="24"/>
        </w:rPr>
        <w:t>竣工档案的整理和移交</w:t>
      </w:r>
    </w:p>
    <w:p>
      <w:pPr>
        <w:spacing w:line="384"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乙方应参照国家《城市建设档案管理规定》、《广州市城市建设档案管理办法》和甲方有关整理工程档案的要求，在工程施工期间及时收集、汇总、整理、编制竣工档案，并于工程竣工验收后按下款约定向甲方完整移交如下竣工档案：</w:t>
      </w:r>
    </w:p>
    <w:p>
      <w:pPr>
        <w:spacing w:line="384"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a</w:t>
      </w:r>
      <w:r>
        <w:rPr>
          <w:rFonts w:hint="eastAsia" w:ascii="宋体" w:hAnsi="宋体" w:cs="宋体"/>
          <w:sz w:val="24"/>
        </w:rPr>
        <w:t>）竣工文件资料、竣工图档案（原件）各一式四份；</w:t>
      </w:r>
    </w:p>
    <w:p>
      <w:pPr>
        <w:spacing w:line="384"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b</w:t>
      </w:r>
      <w:r>
        <w:rPr>
          <w:rFonts w:hint="eastAsia" w:ascii="宋体" w:hAnsi="宋体" w:cs="宋体"/>
          <w:sz w:val="24"/>
        </w:rPr>
        <w:t>）与本款（</w:t>
      </w:r>
      <w:r>
        <w:rPr>
          <w:rFonts w:ascii="宋体" w:hAnsi="宋体" w:cs="宋体"/>
          <w:sz w:val="24"/>
        </w:rPr>
        <w:t>a</w:t>
      </w:r>
      <w:r>
        <w:rPr>
          <w:rFonts w:hint="eastAsia" w:ascii="宋体" w:hAnsi="宋体" w:cs="宋体"/>
          <w:sz w:val="24"/>
        </w:rPr>
        <w:t>）项内容相同的电子版档案一式二份；</w:t>
      </w:r>
    </w:p>
    <w:p>
      <w:pPr>
        <w:spacing w:line="384"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）乙方移交竣工档案的时限：乙方应于工程竣工验收后</w:t>
      </w:r>
      <w:r>
        <w:rPr>
          <w:rFonts w:ascii="宋体" w:hAnsi="宋体" w:cs="宋体"/>
          <w:sz w:val="24"/>
        </w:rPr>
        <w:t>30</w:t>
      </w:r>
      <w:r>
        <w:rPr>
          <w:rFonts w:hint="eastAsia" w:ascii="宋体" w:hAnsi="宋体" w:cs="宋体"/>
          <w:sz w:val="24"/>
        </w:rPr>
        <w:t>天内将竣工档案提交甲方签认。乙方应于甲方签认后</w:t>
      </w:r>
      <w:r>
        <w:rPr>
          <w:rFonts w:ascii="宋体" w:hAnsi="宋体" w:cs="宋体"/>
          <w:sz w:val="24"/>
        </w:rPr>
        <w:t>10</w:t>
      </w:r>
      <w:r>
        <w:rPr>
          <w:rFonts w:hint="eastAsia" w:ascii="宋体" w:hAnsi="宋体" w:cs="宋体"/>
          <w:sz w:val="24"/>
        </w:rPr>
        <w:t>天内将竣工档案移交给甲方归档并同时移交有关归档的证明文件。甲方经审查合格的，应在收到竣工档案后</w:t>
      </w:r>
      <w:r>
        <w:rPr>
          <w:rFonts w:ascii="宋体" w:hAnsi="宋体" w:cs="宋体"/>
          <w:sz w:val="24"/>
        </w:rPr>
        <w:t>10</w:t>
      </w:r>
      <w:r>
        <w:rPr>
          <w:rFonts w:hint="eastAsia" w:ascii="宋体" w:hAnsi="宋体" w:cs="宋体"/>
          <w:sz w:val="24"/>
        </w:rPr>
        <w:t>天内签署档案验收意见；不合格的，乙方应按甲方要求限期补正，直至合格为止。乙方超过本条规定的时限，每逾期一天支付</w:t>
      </w:r>
      <w:r>
        <w:rPr>
          <w:rFonts w:hint="eastAsia" w:ascii="宋体" w:hAnsi="宋体" w:cs="宋体"/>
          <w:sz w:val="24"/>
          <w:u w:val="single"/>
        </w:rPr>
        <w:t>合同暂定总价</w:t>
      </w:r>
      <w:r>
        <w:rPr>
          <w:rFonts w:hint="eastAsia" w:ascii="宋体" w:hAnsi="宋体" w:cs="宋体"/>
          <w:bCs/>
          <w:sz w:val="24"/>
          <w:u w:val="single"/>
        </w:rPr>
        <w:t>万分之五</w:t>
      </w:r>
      <w:r>
        <w:rPr>
          <w:rFonts w:ascii="宋体" w:hAnsi="宋体" w:cs="宋体"/>
          <w:bCs/>
          <w:sz w:val="24"/>
          <w:u w:val="single"/>
        </w:rPr>
        <w:t>/</w:t>
      </w:r>
      <w:r>
        <w:rPr>
          <w:rFonts w:hint="eastAsia" w:ascii="宋体" w:hAnsi="宋体" w:cs="宋体"/>
          <w:bCs/>
          <w:sz w:val="24"/>
          <w:u w:val="single"/>
        </w:rPr>
        <w:t>天</w:t>
      </w:r>
      <w:r>
        <w:rPr>
          <w:rFonts w:hint="eastAsia" w:ascii="宋体" w:hAnsi="宋体" w:cs="宋体"/>
          <w:sz w:val="24"/>
        </w:rPr>
        <w:t>违约金。</w:t>
      </w:r>
    </w:p>
    <w:p>
      <w:pPr>
        <w:spacing w:line="384"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）电子版竣工图的编制，以甲方提供的电子版施工图为基础。乙方在移交竣工档案时，应一并移交甲方提供的电子版施工图。</w:t>
      </w:r>
    </w:p>
    <w:p>
      <w:pPr>
        <w:spacing w:line="384" w:lineRule="auto"/>
        <w:ind w:firstLine="480"/>
        <w:rPr>
          <w:rFonts w:hint="eastAsia" w:ascii="宋体" w:hAnsi="宋体" w:cs="宋体"/>
          <w:sz w:val="24"/>
        </w:rPr>
      </w:pPr>
      <w:r>
        <w:rPr>
          <w:rFonts w:hint="eastAsia" w:ascii="宋体" w:hAnsi="宋体" w:cs="宋体"/>
          <w:sz w:val="24"/>
        </w:rPr>
        <w:t>电子版施工图和电子版竣工图的知识产权归属甲方所有，非经甲方许可，乙方不得以任何方式复制、备份、转让和利用。否则，由此引起的任何纠纷和责任由乙方承担。</w:t>
      </w:r>
    </w:p>
    <w:p>
      <w:pPr>
        <w:pStyle w:val="46"/>
        <w:ind w:firstLine="480" w:firstLineChars="200"/>
        <w:rPr>
          <w:rFonts w:hint="eastAsia" w:asciiTheme="minorEastAsia" w:hAnsiTheme="minorEastAsia" w:eastAsiaTheme="minorEastAsia" w:cstheme="minorEastAsia"/>
          <w:u w:val="single"/>
          <w:lang w:val="en-US" w:eastAsia="zh-CN"/>
        </w:rPr>
      </w:pPr>
      <w:r>
        <w:rPr>
          <w:rFonts w:hint="eastAsia" w:asciiTheme="minorEastAsia" w:hAnsiTheme="minorEastAsia" w:eastAsiaTheme="minorEastAsia" w:cstheme="minorEastAsia"/>
          <w:lang w:val="en-US" w:eastAsia="zh-CN"/>
        </w:rPr>
        <w:t>9.5</w:t>
      </w:r>
      <w:r>
        <w:rPr>
          <w:rFonts w:hint="eastAsia" w:asciiTheme="minorEastAsia" w:hAnsiTheme="minorEastAsia" w:eastAsiaTheme="minorEastAsia" w:cstheme="minorEastAsia"/>
        </w:rPr>
        <w:t>本合同竣工验收结算单位为</w:t>
      </w:r>
      <w:r>
        <w:rPr>
          <w:rFonts w:hint="eastAsia" w:asciiTheme="minorEastAsia" w:hAnsiTheme="minorEastAsia" w:eastAsiaTheme="minorEastAsia" w:cstheme="minorEastAsia"/>
          <w:u w:val="single"/>
          <w:lang w:eastAsia="zh-CN"/>
        </w:rPr>
        <w:t>：</w:t>
      </w:r>
      <w:r>
        <w:rPr>
          <w:rFonts w:hint="eastAsia" w:asciiTheme="minorEastAsia" w:hAnsiTheme="minorEastAsia" w:eastAsiaTheme="minorEastAsia" w:cstheme="minorEastAsia"/>
          <w:u w:val="single"/>
          <w:lang w:val="en-US" w:eastAsia="zh-CN"/>
        </w:rPr>
        <w:t xml:space="preserve">广州从化净水有限公司 </w:t>
      </w:r>
    </w:p>
    <w:p>
      <w:pPr>
        <w:numPr>
          <w:ilvl w:val="0"/>
          <w:numId w:val="4"/>
        </w:numPr>
        <w:spacing w:before="120" w:afterLines="50" w:line="384" w:lineRule="auto"/>
        <w:ind w:firstLine="482" w:firstLineChars="200"/>
        <w:jc w:val="left"/>
        <w:rPr>
          <w:rFonts w:ascii="宋体" w:hAnsi="宋体" w:cs="宋体"/>
          <w:b/>
          <w:bCs/>
          <w:sz w:val="24"/>
        </w:rPr>
      </w:pPr>
      <w:bookmarkStart w:id="87" w:name="_Toc474245220"/>
      <w:bookmarkStart w:id="88" w:name="_Toc518992994"/>
      <w:bookmarkStart w:id="89" w:name="_Toc520190034"/>
      <w:r>
        <w:rPr>
          <w:rFonts w:hint="eastAsia" w:ascii="宋体" w:hAnsi="宋体" w:cs="宋体"/>
          <w:b/>
          <w:bCs/>
          <w:sz w:val="24"/>
        </w:rPr>
        <w:t>质量保证</w:t>
      </w:r>
      <w:bookmarkEnd w:id="87"/>
      <w:bookmarkEnd w:id="88"/>
      <w:bookmarkEnd w:id="89"/>
    </w:p>
    <w:p>
      <w:pPr>
        <w:spacing w:line="384" w:lineRule="auto"/>
        <w:ind w:firstLine="480" w:firstLineChars="200"/>
        <w:rPr>
          <w:rFonts w:ascii="宋体" w:hAnsi="宋体" w:cs="宋体"/>
          <w:sz w:val="24"/>
        </w:rPr>
      </w:pPr>
      <w:r>
        <w:rPr>
          <w:rFonts w:ascii="宋体" w:hAnsi="宋体" w:cs="宋体"/>
          <w:sz w:val="24"/>
        </w:rPr>
        <w:t>10.1</w:t>
      </w:r>
      <w:r>
        <w:rPr>
          <w:rFonts w:hint="eastAsia" w:ascii="宋体" w:hAnsi="宋体" w:cs="宋体"/>
          <w:sz w:val="24"/>
        </w:rPr>
        <w:t>乙方保证所承包的项目质量符合国家相关标准和规范。对产品质量依据原厂商标准及国家标准从严执行。</w:t>
      </w:r>
    </w:p>
    <w:p>
      <w:pPr>
        <w:autoSpaceDE w:val="0"/>
        <w:autoSpaceDN w:val="0"/>
        <w:adjustRightInd w:val="0"/>
        <w:spacing w:line="384" w:lineRule="auto"/>
        <w:ind w:left="420"/>
        <w:rPr>
          <w:rFonts w:ascii="宋体" w:hAnsi="宋体" w:cs="宋体"/>
          <w:kern w:val="0"/>
          <w:sz w:val="24"/>
          <w:lang w:val="zh-CN"/>
        </w:rPr>
      </w:pPr>
      <w:r>
        <w:rPr>
          <w:rFonts w:ascii="宋体" w:hAnsi="宋体" w:cs="宋体"/>
          <w:bCs/>
          <w:sz w:val="24"/>
        </w:rPr>
        <w:t xml:space="preserve">10.2 </w:t>
      </w:r>
      <w:r>
        <w:rPr>
          <w:rFonts w:hint="eastAsia" w:ascii="宋体" w:hAnsi="宋体" w:cs="宋体"/>
          <w:bCs/>
          <w:sz w:val="24"/>
        </w:rPr>
        <w:t>本项目质量保修期为</w:t>
      </w:r>
      <w:r>
        <w:rPr>
          <w:rFonts w:hint="eastAsia" w:ascii="宋体" w:hAnsi="宋体" w:cs="宋体"/>
          <w:kern w:val="0"/>
          <w:sz w:val="24"/>
          <w:lang w:val="zh-CN"/>
        </w:rPr>
        <w:t>自验收合格之日起</w:t>
      </w:r>
      <w:r>
        <w:rPr>
          <w:rFonts w:hint="eastAsia" w:ascii="宋体" w:hAnsi="宋体" w:cs="宋体"/>
          <w:kern w:val="0"/>
          <w:sz w:val="24"/>
          <w:u w:val="single"/>
          <w:lang w:val="en-US" w:eastAsia="zh-CN"/>
        </w:rPr>
        <w:t>壹</w:t>
      </w:r>
      <w:r>
        <w:rPr>
          <w:rFonts w:hint="eastAsia" w:ascii="宋体" w:hAnsi="宋体" w:cs="宋体"/>
          <w:kern w:val="0"/>
          <w:sz w:val="24"/>
          <w:lang w:val="zh-CN"/>
        </w:rPr>
        <w:t>年。</w:t>
      </w:r>
    </w:p>
    <w:p>
      <w:pPr>
        <w:spacing w:line="384" w:lineRule="auto"/>
        <w:ind w:firstLine="420" w:firstLineChars="175"/>
        <w:rPr>
          <w:rFonts w:ascii="宋体" w:hAnsi="宋体" w:cs="宋体"/>
          <w:bCs/>
          <w:sz w:val="24"/>
        </w:rPr>
      </w:pPr>
      <w:r>
        <w:rPr>
          <w:rFonts w:ascii="宋体" w:hAnsi="宋体" w:cs="宋体"/>
          <w:bCs/>
          <w:sz w:val="24"/>
        </w:rPr>
        <w:t>10.3</w:t>
      </w:r>
      <w:r>
        <w:rPr>
          <w:rFonts w:hint="eastAsia" w:ascii="宋体" w:hAnsi="宋体" w:cs="宋体"/>
          <w:bCs/>
          <w:sz w:val="24"/>
        </w:rPr>
        <w:t>质量保修期期间，本项目的质量问题由乙方免费提供保修服务，乙方应在收到甲方通知后日内派人员到场负责解决及维修，如果乙方不按时到场维修或到场后不能修复的，甲方有权委托他人予以维修，乙方承担由此发生的费用并支付</w:t>
      </w:r>
      <w:r>
        <w:rPr>
          <w:rFonts w:hint="eastAsia" w:ascii="宋体" w:hAnsi="宋体" w:cs="宋体"/>
          <w:bCs/>
          <w:sz w:val="24"/>
          <w:u w:val="single"/>
        </w:rPr>
        <w:t>合同暂定总价的</w:t>
      </w:r>
      <w:r>
        <w:rPr>
          <w:rFonts w:ascii="宋体" w:hAnsi="宋体" w:cs="宋体"/>
          <w:bCs/>
          <w:sz w:val="24"/>
          <w:u w:val="single"/>
        </w:rPr>
        <w:t>10%/</w:t>
      </w:r>
      <w:r>
        <w:rPr>
          <w:rFonts w:hint="eastAsia" w:ascii="宋体" w:hAnsi="宋体" w:cs="宋体"/>
          <w:bCs/>
          <w:sz w:val="24"/>
          <w:u w:val="single"/>
        </w:rPr>
        <w:t>次</w:t>
      </w:r>
      <w:r>
        <w:rPr>
          <w:rFonts w:hint="eastAsia" w:ascii="宋体" w:hAnsi="宋体" w:cs="宋体"/>
          <w:bCs/>
          <w:sz w:val="24"/>
        </w:rPr>
        <w:t>作为违约金。</w:t>
      </w:r>
    </w:p>
    <w:p>
      <w:pPr>
        <w:spacing w:beforeLines="50" w:afterLines="50" w:line="384" w:lineRule="auto"/>
        <w:ind w:firstLine="422" w:firstLineChars="175"/>
        <w:jc w:val="left"/>
        <w:rPr>
          <w:rFonts w:ascii="宋体" w:hAnsi="宋体" w:cs="宋体"/>
          <w:sz w:val="24"/>
        </w:rPr>
      </w:pPr>
      <w:bookmarkStart w:id="90" w:name="_Toc107446862"/>
      <w:bookmarkStart w:id="91" w:name="_Toc107447255"/>
      <w:bookmarkStart w:id="92" w:name="_Toc474245226"/>
      <w:bookmarkStart w:id="93" w:name="_Toc518993000"/>
      <w:bookmarkStart w:id="94" w:name="_Toc183666531"/>
      <w:bookmarkStart w:id="95" w:name="_Toc306350467"/>
      <w:bookmarkStart w:id="96" w:name="_Toc19692"/>
      <w:bookmarkStart w:id="97" w:name="_Toc520190040"/>
      <w:r>
        <w:rPr>
          <w:rFonts w:hint="eastAsia" w:ascii="宋体" w:hAnsi="宋体" w:cs="宋体"/>
          <w:b/>
          <w:bCs/>
          <w:sz w:val="24"/>
        </w:rPr>
        <w:t>第十一条不可抗力</w:t>
      </w:r>
      <w:bookmarkEnd w:id="90"/>
      <w:bookmarkEnd w:id="91"/>
      <w:bookmarkEnd w:id="92"/>
      <w:bookmarkEnd w:id="93"/>
      <w:bookmarkEnd w:id="94"/>
      <w:bookmarkEnd w:id="95"/>
      <w:bookmarkEnd w:id="96"/>
      <w:bookmarkEnd w:id="97"/>
    </w:p>
    <w:p>
      <w:pPr>
        <w:widowControl/>
        <w:autoSpaceDE w:val="0"/>
        <w:autoSpaceDN w:val="0"/>
        <w:adjustRightInd w:val="0"/>
        <w:spacing w:line="384" w:lineRule="auto"/>
        <w:ind w:firstLine="480" w:firstLineChars="200"/>
        <w:rPr>
          <w:rFonts w:ascii="宋体" w:hAnsi="宋体" w:cs="宋体"/>
          <w:bCs/>
          <w:sz w:val="24"/>
        </w:rPr>
      </w:pPr>
      <w:bookmarkStart w:id="98" w:name="_Toc183666532"/>
      <w:bookmarkStart w:id="99" w:name="_Toc12010"/>
      <w:bookmarkStart w:id="100" w:name="_Toc306350468"/>
      <w:r>
        <w:rPr>
          <w:rFonts w:ascii="宋体" w:hAnsi="宋体" w:cs="宋体"/>
          <w:bCs/>
          <w:sz w:val="24"/>
        </w:rPr>
        <w:t xml:space="preserve">11.1 </w:t>
      </w:r>
      <w:r>
        <w:rPr>
          <w:rFonts w:hint="eastAsia" w:ascii="宋体" w:hAnsi="宋体" w:cs="宋体"/>
          <w:bCs/>
          <w:sz w:val="24"/>
        </w:rPr>
        <w:t>任何一方因不可抗力无法全部或部分履行其在本合同项下的义务时，该方有权全部或部分中止履行本合同项下的义务，并不承担违约责任。不可抗力是指合同当事人在签订本合同时不可预见，在合同履行过程中不可避免且不能克服的客观情况，包括：</w:t>
      </w:r>
    </w:p>
    <w:p>
      <w:pPr>
        <w:widowControl/>
        <w:autoSpaceDE w:val="0"/>
        <w:autoSpaceDN w:val="0"/>
        <w:adjustRightInd w:val="0"/>
        <w:spacing w:line="384" w:lineRule="auto"/>
        <w:ind w:firstLine="480" w:firstLineChars="200"/>
        <w:rPr>
          <w:rFonts w:ascii="宋体" w:hAnsi="宋体" w:cs="宋体"/>
          <w:bCs/>
          <w:sz w:val="24"/>
        </w:rPr>
      </w:pPr>
      <w:r>
        <w:rPr>
          <w:rFonts w:hint="eastAsia" w:ascii="宋体" w:hAnsi="宋体" w:cs="宋体"/>
          <w:bCs/>
          <w:sz w:val="24"/>
        </w:rPr>
        <w:t>⑴地震、火山爆发、滑坡、暴雨（橙色预警及以上）、台风（黄色预警及以上）、海啸、龙卷风、大面积流行病</w:t>
      </w:r>
      <w:r>
        <w:rPr>
          <w:rFonts w:ascii="宋体" w:hAnsi="宋体" w:cs="宋体"/>
          <w:bCs/>
          <w:sz w:val="24"/>
        </w:rPr>
        <w:t>(如：非典型性肺炎等)或瘟疫；</w:t>
      </w:r>
    </w:p>
    <w:p>
      <w:pPr>
        <w:widowControl/>
        <w:autoSpaceDE w:val="0"/>
        <w:autoSpaceDN w:val="0"/>
        <w:adjustRightInd w:val="0"/>
        <w:spacing w:line="384" w:lineRule="auto"/>
        <w:ind w:firstLine="480" w:firstLineChars="200"/>
        <w:rPr>
          <w:rFonts w:ascii="宋体" w:hAnsi="宋体" w:cs="宋体"/>
          <w:bCs/>
          <w:sz w:val="24"/>
        </w:rPr>
      </w:pPr>
      <w:r>
        <w:rPr>
          <w:rFonts w:hint="eastAsia" w:ascii="宋体" w:hAnsi="宋体" w:cs="宋体"/>
          <w:bCs/>
          <w:sz w:val="24"/>
        </w:rPr>
        <w:t>⑵战争行为、入侵、武装冲突或外敌行为、封锁、暴乱、恐怖行为或军事演习；</w:t>
      </w:r>
    </w:p>
    <w:p>
      <w:pPr>
        <w:widowControl/>
        <w:autoSpaceDE w:val="0"/>
        <w:autoSpaceDN w:val="0"/>
        <w:adjustRightInd w:val="0"/>
        <w:spacing w:line="384" w:lineRule="auto"/>
        <w:ind w:firstLine="480" w:firstLineChars="200"/>
        <w:rPr>
          <w:rFonts w:ascii="宋体" w:hAnsi="宋体" w:cs="宋体"/>
          <w:bCs/>
          <w:sz w:val="24"/>
        </w:rPr>
      </w:pPr>
      <w:r>
        <w:rPr>
          <w:rFonts w:ascii="宋体" w:hAnsi="宋体" w:cs="宋体"/>
          <w:bCs/>
          <w:sz w:val="24"/>
        </w:rPr>
        <w:t xml:space="preserve">11.2 </w:t>
      </w:r>
      <w:r>
        <w:rPr>
          <w:rFonts w:hint="eastAsia" w:ascii="宋体" w:hAnsi="宋体" w:cs="宋体"/>
          <w:bCs/>
          <w:sz w:val="24"/>
        </w:rPr>
        <w:t>声称受到不可抗力影响的一方，应在发生不可抗力或知道发生不可抗力之后</w:t>
      </w:r>
      <w:r>
        <w:rPr>
          <w:rFonts w:ascii="宋体" w:hAnsi="宋体" w:cs="宋体"/>
          <w:bCs/>
          <w:sz w:val="24"/>
        </w:rPr>
        <w:t>5日内书面通知另一方，详细描述不可抗力的发生情况和对该方履行在本合同项下义务的影响，同时附上此种不可抗力事件及其持续时间的有效证明文件。</w:t>
      </w:r>
    </w:p>
    <w:p>
      <w:pPr>
        <w:widowControl/>
        <w:autoSpaceDE w:val="0"/>
        <w:autoSpaceDN w:val="0"/>
        <w:adjustRightInd w:val="0"/>
        <w:spacing w:line="384" w:lineRule="auto"/>
        <w:ind w:firstLine="480" w:firstLineChars="200"/>
        <w:rPr>
          <w:rFonts w:ascii="宋体" w:hAnsi="宋体" w:cs="宋体"/>
          <w:bCs/>
          <w:sz w:val="24"/>
        </w:rPr>
      </w:pPr>
      <w:r>
        <w:rPr>
          <w:rFonts w:ascii="宋体" w:hAnsi="宋体" w:cs="宋体"/>
          <w:bCs/>
          <w:sz w:val="24"/>
        </w:rPr>
        <w:t xml:space="preserve">11.3 </w:t>
      </w:r>
      <w:r>
        <w:rPr>
          <w:rFonts w:hint="eastAsia" w:ascii="宋体" w:hAnsi="宋体" w:cs="宋体"/>
          <w:bCs/>
          <w:sz w:val="24"/>
        </w:rPr>
        <w:t>因不可抗力导致合同无法履行的时间自该不可抗力发生日起连续超过玖拾</w:t>
      </w:r>
      <w:r>
        <w:rPr>
          <w:rFonts w:ascii="宋体" w:hAnsi="宋体" w:cs="宋体"/>
          <w:bCs/>
          <w:sz w:val="24"/>
        </w:rPr>
        <w:t>(90)天，双方应协商决定继续履行本合同的条件或者变更本合同。如果自不可抗力发生后壹佰捌拾(180)天之内双方不能达成一致意见，任何一方有权解除本合同。</w:t>
      </w:r>
    </w:p>
    <w:p>
      <w:pPr>
        <w:spacing w:beforeLines="50" w:afterLines="50" w:line="384" w:lineRule="auto"/>
        <w:ind w:firstLine="482"/>
        <w:jc w:val="left"/>
        <w:rPr>
          <w:rFonts w:ascii="宋体" w:hAnsi="宋体" w:cs="宋体"/>
          <w:bCs/>
          <w:sz w:val="24"/>
        </w:rPr>
      </w:pPr>
      <w:r>
        <w:rPr>
          <w:rFonts w:ascii="宋体" w:hAnsi="宋体" w:cs="宋体"/>
          <w:bCs/>
          <w:sz w:val="24"/>
        </w:rPr>
        <w:t xml:space="preserve">11.4 </w:t>
      </w:r>
      <w:r>
        <w:rPr>
          <w:rFonts w:hint="eastAsia" w:ascii="宋体" w:hAnsi="宋体" w:cs="宋体"/>
          <w:bCs/>
          <w:sz w:val="24"/>
        </w:rPr>
        <w:t>双方同意采取一切合理的预防措施和及时的补救措施，尽可能减轻不可抗力事件带来的后果。受到不可抗力影响的一方应尽合理的努力减少不可抗力的影响，包括为采取有效的措施支付合理的金额。双方应协商制定并实施补救计划及合理的替代措施以消除不可抗力，并决定为减少不可抗力给每一方带来的损失应采取的合理的手段。但因受到不可抗力影响的一方采取措施不当，未尽合理的努力减少不可抗力的影响，造成损失扩大的，由有责任的一方承担扩大部分的损失。声称不可抗力的一方在不可抗力消除之后应尽快恢复履行本合同项下的义务。</w:t>
      </w:r>
      <w:bookmarkStart w:id="101" w:name="_Toc518993001"/>
      <w:bookmarkStart w:id="102" w:name="_Toc474245227"/>
      <w:bookmarkStart w:id="103" w:name="_Toc107446864"/>
      <w:bookmarkStart w:id="104" w:name="_Toc107447257"/>
      <w:bookmarkStart w:id="105" w:name="_Toc118172294"/>
      <w:bookmarkStart w:id="106" w:name="_Toc520190041"/>
    </w:p>
    <w:p>
      <w:pPr>
        <w:spacing w:beforeLines="50" w:afterLines="50" w:line="384" w:lineRule="auto"/>
        <w:ind w:firstLine="482"/>
        <w:jc w:val="left"/>
        <w:rPr>
          <w:rFonts w:ascii="宋体" w:hAnsi="宋体" w:cs="宋体"/>
          <w:b/>
          <w:bCs/>
          <w:sz w:val="24"/>
        </w:rPr>
      </w:pPr>
      <w:r>
        <w:rPr>
          <w:rFonts w:hint="eastAsia" w:ascii="宋体" w:hAnsi="宋体" w:cs="宋体"/>
          <w:b/>
          <w:bCs/>
          <w:sz w:val="24"/>
        </w:rPr>
        <w:t>十二条争议解决</w:t>
      </w:r>
      <w:bookmarkEnd w:id="98"/>
      <w:bookmarkEnd w:id="99"/>
      <w:bookmarkEnd w:id="100"/>
      <w:bookmarkEnd w:id="101"/>
      <w:bookmarkEnd w:id="102"/>
      <w:bookmarkEnd w:id="103"/>
      <w:bookmarkEnd w:id="104"/>
      <w:bookmarkEnd w:id="105"/>
      <w:bookmarkEnd w:id="106"/>
    </w:p>
    <w:p>
      <w:pPr>
        <w:spacing w:line="384" w:lineRule="auto"/>
        <w:ind w:firstLine="482"/>
        <w:rPr>
          <w:rFonts w:ascii="宋体" w:hAnsi="宋体" w:cs="宋体"/>
          <w:bCs/>
          <w:sz w:val="24"/>
        </w:rPr>
      </w:pPr>
      <w:bookmarkStart w:id="107" w:name="_Toc183666533"/>
      <w:bookmarkStart w:id="108" w:name="_Toc306350469"/>
      <w:r>
        <w:rPr>
          <w:rFonts w:ascii="宋体" w:hAnsi="宋体" w:cs="宋体"/>
          <w:bCs/>
          <w:sz w:val="24"/>
        </w:rPr>
        <w:t xml:space="preserve">12.1 </w:t>
      </w:r>
      <w:r>
        <w:rPr>
          <w:rFonts w:hint="eastAsia" w:ascii="宋体" w:hAnsi="宋体" w:cs="宋体"/>
          <w:bCs/>
          <w:sz w:val="24"/>
        </w:rPr>
        <w:t>甲乙双方应通过友好协商，解决在执行本合同所发生的或与本合同有关的一切争议。如协商不能解决争议，任何一方均可依法向甲方所在地人民法院提起诉讼。</w:t>
      </w:r>
    </w:p>
    <w:p>
      <w:pPr>
        <w:spacing w:line="384" w:lineRule="auto"/>
        <w:ind w:firstLine="482"/>
        <w:jc w:val="left"/>
        <w:rPr>
          <w:rFonts w:ascii="宋体" w:hAnsi="宋体" w:cs="宋体"/>
          <w:sz w:val="24"/>
        </w:rPr>
      </w:pPr>
      <w:r>
        <w:rPr>
          <w:rFonts w:ascii="宋体" w:hAnsi="宋体" w:cs="宋体"/>
          <w:bCs/>
          <w:sz w:val="24"/>
        </w:rPr>
        <w:t xml:space="preserve">12.2 </w:t>
      </w:r>
      <w:r>
        <w:rPr>
          <w:rFonts w:hint="eastAsia" w:ascii="宋体" w:hAnsi="宋体" w:cs="宋体"/>
          <w:sz w:val="24"/>
        </w:rPr>
        <w:t>在甲方同意的情况下，除有争端之外的合同其它部分在争端解决前应继续执行。</w:t>
      </w:r>
      <w:bookmarkEnd w:id="107"/>
      <w:bookmarkEnd w:id="108"/>
      <w:bookmarkStart w:id="109" w:name="_Toc518993003"/>
      <w:bookmarkStart w:id="110" w:name="_Toc520190043"/>
      <w:bookmarkStart w:id="111" w:name="_Toc474245229"/>
    </w:p>
    <w:p>
      <w:pPr>
        <w:spacing w:line="384" w:lineRule="auto"/>
        <w:ind w:firstLine="482"/>
        <w:jc w:val="left"/>
        <w:rPr>
          <w:rFonts w:ascii="宋体" w:hAnsi="宋体" w:cs="宋体"/>
          <w:b/>
          <w:bCs/>
          <w:sz w:val="24"/>
        </w:rPr>
      </w:pPr>
      <w:r>
        <w:rPr>
          <w:rFonts w:hint="eastAsia" w:ascii="宋体" w:hAnsi="宋体" w:cs="宋体"/>
          <w:b/>
          <w:bCs/>
          <w:sz w:val="24"/>
        </w:rPr>
        <w:t>第十三条</w:t>
      </w:r>
      <w:bookmarkStart w:id="112" w:name="_Toc107446871"/>
      <w:bookmarkStart w:id="113" w:name="_Toc107447264"/>
      <w:r>
        <w:rPr>
          <w:rFonts w:hint="eastAsia" w:ascii="宋体" w:hAnsi="宋体" w:cs="宋体"/>
          <w:b/>
          <w:bCs/>
          <w:sz w:val="24"/>
        </w:rPr>
        <w:t>合同生效及其他</w:t>
      </w:r>
      <w:bookmarkEnd w:id="109"/>
      <w:bookmarkEnd w:id="110"/>
      <w:bookmarkEnd w:id="111"/>
      <w:bookmarkEnd w:id="112"/>
      <w:bookmarkEnd w:id="113"/>
    </w:p>
    <w:p>
      <w:pPr>
        <w:spacing w:line="384" w:lineRule="auto"/>
        <w:ind w:firstLine="480"/>
        <w:rPr>
          <w:rFonts w:ascii="宋体" w:hAnsi="宋体" w:cs="宋体"/>
          <w:sz w:val="24"/>
        </w:rPr>
      </w:pPr>
      <w:r>
        <w:rPr>
          <w:rFonts w:ascii="宋体" w:hAnsi="宋体" w:cs="宋体"/>
          <w:sz w:val="24"/>
        </w:rPr>
        <w:t>13.1</w:t>
      </w:r>
      <w:r>
        <w:rPr>
          <w:rFonts w:hint="eastAsia" w:ascii="宋体" w:hAnsi="宋体" w:cs="宋体"/>
          <w:sz w:val="24"/>
        </w:rPr>
        <w:t>本合同经双方法定代表人或授权代表签字并加盖双方公章后生效</w:t>
      </w:r>
      <w:r>
        <w:rPr>
          <w:rFonts w:ascii="宋体" w:hAnsi="宋体" w:cs="宋体"/>
          <w:sz w:val="24"/>
        </w:rPr>
        <w:t>.</w:t>
      </w:r>
    </w:p>
    <w:p>
      <w:pPr>
        <w:spacing w:line="384" w:lineRule="auto"/>
        <w:ind w:firstLine="480"/>
        <w:rPr>
          <w:rFonts w:ascii="宋体" w:hAnsi="宋体" w:cs="宋体"/>
          <w:sz w:val="24"/>
        </w:rPr>
      </w:pPr>
      <w:r>
        <w:rPr>
          <w:rFonts w:ascii="宋体" w:hAnsi="宋体" w:cs="宋体"/>
          <w:sz w:val="24"/>
        </w:rPr>
        <w:t>13.2</w:t>
      </w:r>
      <w:r>
        <w:rPr>
          <w:rFonts w:hint="eastAsia" w:ascii="宋体" w:hAnsi="宋体" w:cs="宋体"/>
          <w:sz w:val="24"/>
        </w:rPr>
        <w:t>本合同正文一式</w:t>
      </w:r>
      <w:r>
        <w:rPr>
          <w:rFonts w:hint="eastAsia" w:ascii="宋体" w:hAnsi="宋体" w:cs="宋体"/>
          <w:sz w:val="24"/>
          <w:lang w:val="en-US" w:eastAsia="zh-CN"/>
        </w:rPr>
        <w:t>五</w:t>
      </w:r>
      <w:r>
        <w:rPr>
          <w:rFonts w:hint="eastAsia" w:ascii="宋体" w:hAnsi="宋体" w:cs="宋体"/>
          <w:sz w:val="24"/>
        </w:rPr>
        <w:t>份，其中：甲方</w:t>
      </w:r>
      <w:r>
        <w:rPr>
          <w:rFonts w:hint="eastAsia" w:ascii="宋体" w:hAnsi="宋体" w:cs="宋体"/>
          <w:sz w:val="24"/>
          <w:lang w:val="en-US" w:eastAsia="zh-CN"/>
        </w:rPr>
        <w:t>四</w:t>
      </w:r>
      <w:r>
        <w:rPr>
          <w:rFonts w:hint="eastAsia" w:ascii="宋体" w:hAnsi="宋体" w:cs="宋体"/>
          <w:sz w:val="24"/>
        </w:rPr>
        <w:t>份，乙方</w:t>
      </w:r>
      <w:r>
        <w:rPr>
          <w:rFonts w:hint="eastAsia" w:ascii="宋体" w:hAnsi="宋体" w:cs="宋体"/>
          <w:sz w:val="24"/>
          <w:lang w:val="en-US" w:eastAsia="zh-CN"/>
        </w:rPr>
        <w:t>一</w:t>
      </w:r>
      <w:r>
        <w:rPr>
          <w:rFonts w:hint="eastAsia" w:ascii="宋体" w:hAnsi="宋体" w:cs="宋体"/>
          <w:sz w:val="24"/>
        </w:rPr>
        <w:t>份。</w:t>
      </w:r>
    </w:p>
    <w:p>
      <w:pPr>
        <w:spacing w:line="384" w:lineRule="auto"/>
        <w:ind w:firstLine="480"/>
        <w:rPr>
          <w:rFonts w:hint="eastAsia" w:ascii="宋体" w:hAnsi="宋体" w:cs="宋体"/>
          <w:sz w:val="24"/>
          <w:u w:val="single"/>
          <w:lang w:eastAsia="zh-CN"/>
        </w:rPr>
      </w:pPr>
      <w:r>
        <w:rPr>
          <w:rFonts w:ascii="宋体" w:hAnsi="宋体" w:cs="宋体"/>
          <w:sz w:val="24"/>
        </w:rPr>
        <w:t>13.</w:t>
      </w:r>
      <w:r>
        <w:rPr>
          <w:rFonts w:hint="eastAsia" w:ascii="宋体" w:hAnsi="宋体" w:cs="宋体"/>
          <w:sz w:val="24"/>
        </w:rPr>
        <w:t>3补充条款</w:t>
      </w:r>
      <w:r>
        <w:rPr>
          <w:rFonts w:hint="eastAsia" w:ascii="宋体" w:hAnsi="宋体" w:cs="宋体"/>
          <w:sz w:val="24"/>
          <w:u w:val="single"/>
        </w:rPr>
        <w:t>：</w:t>
      </w:r>
      <w:r>
        <w:rPr>
          <w:rFonts w:hint="eastAsia" w:ascii="宋体" w:hAnsi="宋体" w:cs="宋体"/>
          <w:sz w:val="24"/>
          <w:u w:val="single"/>
          <w:lang w:val="en-US" w:eastAsia="zh-CN"/>
        </w:rPr>
        <w:t>/</w:t>
      </w:r>
    </w:p>
    <w:p>
      <w:pPr>
        <w:spacing w:line="384" w:lineRule="auto"/>
        <w:rPr>
          <w:rFonts w:ascii="宋体" w:hAnsi="宋体" w:cs="宋体"/>
          <w:sz w:val="24"/>
        </w:rPr>
      </w:pPr>
    </w:p>
    <w:p>
      <w:pPr>
        <w:spacing w:line="384" w:lineRule="auto"/>
        <w:rPr>
          <w:rFonts w:ascii="宋体" w:hAnsi="宋体" w:cs="宋体"/>
          <w:sz w:val="24"/>
        </w:rPr>
      </w:pPr>
      <w:r>
        <w:rPr>
          <w:rFonts w:hint="eastAsia" w:ascii="宋体" w:hAnsi="宋体" w:cs="宋体"/>
          <w:sz w:val="24"/>
        </w:rPr>
        <w:t>附件：</w:t>
      </w:r>
      <w:r>
        <w:rPr>
          <w:rFonts w:ascii="宋体" w:hAnsi="宋体" w:cs="宋体"/>
          <w:sz w:val="24"/>
        </w:rPr>
        <w:t>1.</w:t>
      </w:r>
      <w:r>
        <w:rPr>
          <w:rFonts w:hint="eastAsia" w:ascii="宋体" w:hAnsi="宋体" w:cs="宋体"/>
          <w:sz w:val="24"/>
        </w:rPr>
        <w:t>中标通知书</w:t>
      </w:r>
      <w:r>
        <w:rPr>
          <w:rFonts w:ascii="宋体" w:hAnsi="宋体" w:cs="宋体"/>
          <w:sz w:val="24"/>
        </w:rPr>
        <w:t>/</w:t>
      </w:r>
      <w:r>
        <w:rPr>
          <w:rFonts w:hint="eastAsia" w:ascii="宋体" w:hAnsi="宋体" w:cs="宋体"/>
          <w:sz w:val="24"/>
        </w:rPr>
        <w:t>发包通知书</w:t>
      </w:r>
      <w:r>
        <w:rPr>
          <w:rFonts w:ascii="宋体" w:hAnsi="宋体" w:cs="宋体"/>
          <w:sz w:val="24"/>
        </w:rPr>
        <w:t>/</w:t>
      </w:r>
      <w:r>
        <w:rPr>
          <w:rFonts w:hint="eastAsia" w:ascii="宋体" w:hAnsi="宋体" w:cs="宋体"/>
          <w:sz w:val="24"/>
          <w:lang w:val="en-US" w:eastAsia="zh-CN"/>
        </w:rPr>
        <w:t>成交通知书/</w:t>
      </w:r>
      <w:r>
        <w:rPr>
          <w:rFonts w:hint="eastAsia" w:ascii="宋体" w:hAnsi="宋体" w:cs="宋体"/>
          <w:sz w:val="24"/>
        </w:rPr>
        <w:t>委托函（如有）</w:t>
      </w:r>
    </w:p>
    <w:p>
      <w:pPr>
        <w:numPr>
          <w:ilvl w:val="0"/>
          <w:numId w:val="0"/>
        </w:numPr>
        <w:spacing w:line="460" w:lineRule="exact"/>
        <w:ind w:firstLine="720" w:firstLineChars="300"/>
        <w:rPr>
          <w:rFonts w:hint="eastAsia" w:ascii="宋体" w:hAnsi="宋体" w:cs="宋体"/>
          <w:color w:val="auto"/>
          <w:sz w:val="24"/>
          <w:szCs w:val="24"/>
        </w:rPr>
      </w:pPr>
      <w:r>
        <w:rPr>
          <w:rFonts w:hint="eastAsia" w:ascii="宋体" w:hAnsi="宋体" w:cs="宋体"/>
          <w:color w:val="auto"/>
          <w:sz w:val="24"/>
          <w:szCs w:val="24"/>
          <w:lang w:val="en-US" w:eastAsia="zh-CN"/>
        </w:rPr>
        <w:t>2.</w:t>
      </w:r>
      <w:r>
        <w:rPr>
          <w:rFonts w:hint="eastAsia" w:ascii="宋体" w:hAnsi="宋体" w:cs="宋体"/>
          <w:color w:val="auto"/>
          <w:sz w:val="24"/>
          <w:szCs w:val="24"/>
        </w:rPr>
        <w:t>廉洁协议</w:t>
      </w:r>
    </w:p>
    <w:p>
      <w:pPr>
        <w:spacing w:line="384" w:lineRule="auto"/>
        <w:ind w:firstLine="720" w:firstLineChars="300"/>
        <w:rPr>
          <w:rFonts w:hint="default" w:ascii="宋体" w:hAnsi="宋体" w:eastAsia="宋体" w:cs="宋体"/>
          <w:sz w:val="24"/>
          <w:lang w:val="en-US" w:eastAsia="zh-CN"/>
        </w:rPr>
      </w:pPr>
      <w:r>
        <w:rPr>
          <w:rFonts w:hint="eastAsia" w:ascii="宋体" w:hAnsi="宋体" w:cs="宋体"/>
          <w:sz w:val="24"/>
          <w:lang w:val="en-US" w:eastAsia="zh-CN"/>
        </w:rPr>
        <w:t>3</w:t>
      </w:r>
      <w:r>
        <w:rPr>
          <w:rFonts w:ascii="宋体" w:hAnsi="宋体" w:cs="宋体"/>
          <w:sz w:val="24"/>
        </w:rPr>
        <w:t>.</w:t>
      </w:r>
      <w:r>
        <w:rPr>
          <w:rFonts w:hint="eastAsia" w:ascii="宋体" w:hAnsi="宋体" w:cs="宋体"/>
          <w:sz w:val="24"/>
          <w:lang w:val="en-US" w:eastAsia="zh-CN"/>
        </w:rPr>
        <w:t>营运场所施工安全协议书</w:t>
      </w:r>
    </w:p>
    <w:p>
      <w:pPr>
        <w:spacing w:line="384" w:lineRule="auto"/>
        <w:rPr>
          <w:rFonts w:hint="eastAsia" w:ascii="宋体" w:hAnsi="宋体" w:cs="宋体"/>
          <w:sz w:val="24"/>
          <w:lang w:val="en-US" w:eastAsia="zh-CN"/>
        </w:rPr>
      </w:pPr>
      <w:r>
        <w:rPr>
          <w:rFonts w:ascii="宋体" w:hAnsi="宋体" w:cs="宋体"/>
          <w:sz w:val="24"/>
        </w:rPr>
        <w:t xml:space="preserve">     </w:t>
      </w:r>
      <w:r>
        <w:rPr>
          <w:rFonts w:hint="eastAsia" w:ascii="宋体" w:hAnsi="宋体" w:cs="宋体"/>
          <w:sz w:val="24"/>
          <w:lang w:val="en-US" w:eastAsia="zh-CN"/>
        </w:rPr>
        <w:t xml:space="preserve"> 4</w:t>
      </w:r>
      <w:r>
        <w:rPr>
          <w:rFonts w:ascii="宋体" w:hAnsi="宋体" w:cs="宋体"/>
          <w:sz w:val="24"/>
        </w:rPr>
        <w:t>.</w:t>
      </w:r>
      <w:r>
        <w:rPr>
          <w:rFonts w:hint="eastAsia" w:ascii="宋体" w:hAnsi="宋体" w:cs="宋体"/>
          <w:sz w:val="24"/>
        </w:rPr>
        <w:t>工程量</w:t>
      </w:r>
      <w:r>
        <w:rPr>
          <w:rFonts w:hint="eastAsia" w:ascii="宋体" w:hAnsi="宋体" w:cs="宋体"/>
          <w:sz w:val="24"/>
          <w:lang w:val="en-US" w:eastAsia="zh-CN"/>
        </w:rPr>
        <w:t>报价单</w:t>
      </w:r>
    </w:p>
    <w:p>
      <w:pPr>
        <w:pStyle w:val="2"/>
        <w:ind w:firstLine="720" w:firstLineChars="300"/>
        <w:rPr>
          <w:rFonts w:hint="eastAsia" w:ascii="宋体" w:hAnsi="宋体" w:cs="宋体" w:eastAsiaTheme="minorEastAsia"/>
          <w:kern w:val="2"/>
          <w:sz w:val="24"/>
          <w:szCs w:val="22"/>
          <w:lang w:val="en-US" w:eastAsia="zh-CN" w:bidi="ar-SA"/>
        </w:rPr>
      </w:pPr>
      <w:r>
        <w:rPr>
          <w:rFonts w:hint="eastAsia" w:ascii="宋体" w:hAnsi="宋体" w:cs="宋体" w:eastAsiaTheme="minorEastAsia"/>
          <w:kern w:val="2"/>
          <w:sz w:val="24"/>
          <w:szCs w:val="22"/>
          <w:lang w:val="en-US" w:eastAsia="zh-CN" w:bidi="ar-SA"/>
        </w:rPr>
        <w:t>5.营运项目承包单位日常履约考评参照表（安全）</w:t>
      </w:r>
    </w:p>
    <w:p>
      <w:pPr>
        <w:pStyle w:val="2"/>
        <w:ind w:firstLine="720" w:firstLineChars="300"/>
        <w:rPr>
          <w:rFonts w:hint="default" w:ascii="宋体" w:hAnsi="宋体" w:cs="宋体" w:eastAsiaTheme="minorEastAsia"/>
          <w:kern w:val="2"/>
          <w:sz w:val="24"/>
          <w:szCs w:val="22"/>
          <w:lang w:val="en-US" w:eastAsia="zh-CN" w:bidi="ar-SA"/>
        </w:rPr>
      </w:pPr>
      <w:r>
        <w:rPr>
          <w:rFonts w:hint="eastAsia" w:ascii="宋体" w:hAnsi="宋体" w:cs="宋体" w:eastAsiaTheme="minorEastAsia"/>
          <w:kern w:val="2"/>
          <w:sz w:val="24"/>
          <w:szCs w:val="22"/>
          <w:lang w:val="en-US" w:eastAsia="zh-CN" w:bidi="ar-SA"/>
        </w:rPr>
        <w:t>6.营运项目承包单位综合履约考评表（安全）</w:t>
      </w:r>
    </w:p>
    <w:p>
      <w:pPr>
        <w:spacing w:line="360" w:lineRule="auto"/>
        <w:rPr>
          <w:rFonts w:hint="eastAsia" w:ascii="宋体" w:hAnsi="宋体" w:cs="宋体" w:eastAsiaTheme="minorEastAsia"/>
          <w:kern w:val="2"/>
          <w:sz w:val="24"/>
          <w:szCs w:val="22"/>
          <w:lang w:val="en-US" w:eastAsia="zh-CN" w:bidi="ar-SA"/>
        </w:rPr>
      </w:pPr>
      <w:r>
        <w:rPr>
          <w:rFonts w:hint="eastAsia" w:ascii="宋体" w:hAnsi="宋体" w:cs="宋体" w:eastAsiaTheme="minorEastAsia"/>
          <w:kern w:val="2"/>
          <w:sz w:val="24"/>
          <w:szCs w:val="22"/>
          <w:lang w:val="en-US" w:eastAsia="zh-CN" w:bidi="ar-SA"/>
        </w:rPr>
        <w:t xml:space="preserve">      7.履约保函（模板）</w:t>
      </w:r>
    </w:p>
    <w:p>
      <w:pPr>
        <w:spacing w:line="360" w:lineRule="auto"/>
        <w:ind w:firstLine="720" w:firstLineChars="300"/>
        <w:rPr>
          <w:rFonts w:hint="eastAsia" w:ascii="宋体" w:hAnsi="宋体" w:cs="宋体" w:eastAsiaTheme="minorEastAsia"/>
          <w:kern w:val="2"/>
          <w:sz w:val="24"/>
          <w:szCs w:val="22"/>
          <w:lang w:val="en-US" w:eastAsia="zh-CN" w:bidi="ar-SA"/>
        </w:rPr>
      </w:pPr>
      <w:r>
        <w:rPr>
          <w:rFonts w:hint="eastAsia" w:ascii="宋体" w:hAnsi="宋体" w:cs="宋体" w:eastAsiaTheme="minorEastAsia"/>
          <w:kern w:val="2"/>
          <w:sz w:val="24"/>
          <w:szCs w:val="22"/>
          <w:lang w:val="en-US" w:eastAsia="zh-CN" w:bidi="ar-SA"/>
        </w:rPr>
        <w:t>8.项目投入人员架构表</w:t>
      </w:r>
    </w:p>
    <w:p>
      <w:pPr>
        <w:adjustRightInd w:val="0"/>
        <w:snapToGrid w:val="0"/>
        <w:ind w:firstLine="720" w:firstLineChars="300"/>
        <w:jc w:val="both"/>
        <w:rPr>
          <w:rFonts w:hint="default" w:ascii="宋体" w:hAnsi="宋体" w:cs="宋体" w:eastAsiaTheme="minorEastAsia"/>
          <w:kern w:val="2"/>
          <w:sz w:val="24"/>
          <w:szCs w:val="22"/>
          <w:lang w:val="en-US" w:eastAsia="zh-CN" w:bidi="ar-SA"/>
        </w:rPr>
      </w:pPr>
      <w:r>
        <w:rPr>
          <w:rFonts w:hint="eastAsia" w:ascii="宋体" w:hAnsi="宋体" w:cs="宋体" w:eastAsiaTheme="minorEastAsia"/>
          <w:kern w:val="2"/>
          <w:sz w:val="24"/>
          <w:szCs w:val="22"/>
          <w:lang w:val="en-US" w:eastAsia="zh-CN" w:bidi="ar-SA"/>
        </w:rPr>
        <w:t>9.净水公司廉洁监督举报受理范围及途径告知书</w:t>
      </w:r>
    </w:p>
    <w:p>
      <w:pPr>
        <w:spacing w:line="384" w:lineRule="auto"/>
        <w:ind w:firstLine="720" w:firstLineChars="300"/>
        <w:rPr>
          <w:rFonts w:hint="default" w:ascii="宋体" w:hAnsi="宋体" w:eastAsia="宋体" w:cs="宋体"/>
          <w:b w:val="0"/>
          <w:bCs w:val="0"/>
          <w:sz w:val="24"/>
          <w:lang w:val="en-US" w:eastAsia="zh-CN"/>
        </w:rPr>
      </w:pPr>
    </w:p>
    <w:p>
      <w:pPr>
        <w:spacing w:line="384" w:lineRule="auto"/>
        <w:rPr>
          <w:rFonts w:ascii="宋体" w:hAnsi="宋体" w:cs="宋体"/>
          <w:sz w:val="24"/>
        </w:rPr>
      </w:pPr>
    </w:p>
    <w:p>
      <w:pPr>
        <w:spacing w:line="384" w:lineRule="auto"/>
        <w:rPr>
          <w:rFonts w:ascii="宋体" w:hAnsi="宋体" w:cs="宋体"/>
          <w:sz w:val="24"/>
        </w:rPr>
      </w:pPr>
    </w:p>
    <w:p>
      <w:pPr>
        <w:spacing w:line="384" w:lineRule="auto"/>
        <w:rPr>
          <w:rFonts w:ascii="宋体" w:hAnsi="宋体" w:cs="宋体"/>
          <w:sz w:val="24"/>
        </w:rPr>
      </w:pPr>
      <w:r>
        <w:rPr>
          <w:rFonts w:hint="eastAsia" w:ascii="宋体" w:hAnsi="宋体" w:cs="宋体"/>
          <w:sz w:val="24"/>
        </w:rPr>
        <w:t>甲方：</w:t>
      </w:r>
      <w:r>
        <w:rPr>
          <w:rFonts w:hint="eastAsia" w:ascii="宋体" w:hAnsi="宋体" w:cs="宋体"/>
          <w:sz w:val="24"/>
          <w:lang w:eastAsia="zh-CN"/>
        </w:rPr>
        <w:t>广州从化净水</w:t>
      </w:r>
      <w:r>
        <w:rPr>
          <w:rFonts w:hint="eastAsia" w:ascii="宋体" w:hAnsi="宋体" w:cs="宋体"/>
          <w:sz w:val="24"/>
        </w:rPr>
        <w:t>有限公司（盖章）</w:t>
      </w:r>
      <w:r>
        <w:rPr>
          <w:rFonts w:hint="eastAsia" w:ascii="宋体" w:hAnsi="宋体" w:cs="宋体"/>
          <w:sz w:val="24"/>
          <w:lang w:val="en-US" w:eastAsia="zh-CN"/>
        </w:rPr>
        <w:t xml:space="preserve">     </w:t>
      </w:r>
      <w:r>
        <w:rPr>
          <w:rFonts w:hint="eastAsia" w:ascii="宋体" w:hAnsi="宋体" w:cs="宋体"/>
          <w:sz w:val="24"/>
        </w:rPr>
        <w:t>乙方：（盖章）</w:t>
      </w:r>
    </w:p>
    <w:p>
      <w:pPr>
        <w:spacing w:line="384" w:lineRule="auto"/>
        <w:rPr>
          <w:rFonts w:ascii="宋体" w:hAnsi="宋体" w:cs="宋体"/>
          <w:sz w:val="24"/>
        </w:rPr>
      </w:pPr>
      <w:r>
        <w:rPr>
          <w:rFonts w:hint="eastAsia" w:ascii="宋体" w:hAnsi="宋体" w:cs="宋体"/>
          <w:sz w:val="24"/>
        </w:rPr>
        <w:t>法定代表或</w:t>
      </w:r>
      <w:r>
        <w:rPr>
          <w:rFonts w:hint="eastAsia" w:ascii="宋体" w:hAnsi="宋体" w:cs="宋体"/>
          <w:sz w:val="24"/>
          <w:lang w:val="en-US" w:eastAsia="zh-CN"/>
        </w:rPr>
        <w:t xml:space="preserve">                             </w:t>
      </w:r>
      <w:r>
        <w:rPr>
          <w:rFonts w:hint="eastAsia" w:ascii="宋体" w:hAnsi="宋体" w:cs="宋体"/>
          <w:sz w:val="24"/>
        </w:rPr>
        <w:t>法定代表人或</w:t>
      </w:r>
    </w:p>
    <w:p>
      <w:pPr>
        <w:spacing w:line="384" w:lineRule="auto"/>
        <w:rPr>
          <w:rFonts w:ascii="宋体" w:hAnsi="宋体" w:cs="宋体"/>
          <w:sz w:val="24"/>
        </w:rPr>
      </w:pPr>
      <w:r>
        <w:rPr>
          <w:rFonts w:hint="eastAsia" w:ascii="宋体" w:hAnsi="宋体" w:cs="宋体"/>
          <w:sz w:val="24"/>
        </w:rPr>
        <w:t>授权代理人：</w:t>
      </w:r>
      <w:r>
        <w:rPr>
          <w:rFonts w:hint="eastAsia" w:ascii="宋体" w:hAnsi="宋体" w:cs="宋体"/>
          <w:sz w:val="24"/>
          <w:lang w:val="en-US" w:eastAsia="zh-CN"/>
        </w:rPr>
        <w:t xml:space="preserve">                           </w:t>
      </w:r>
      <w:r>
        <w:rPr>
          <w:rFonts w:hint="eastAsia" w:ascii="宋体" w:hAnsi="宋体" w:cs="宋体"/>
          <w:sz w:val="24"/>
        </w:rPr>
        <w:t>授权代理人：</w:t>
      </w:r>
    </w:p>
    <w:p>
      <w:pPr>
        <w:spacing w:line="384" w:lineRule="auto"/>
        <w:rPr>
          <w:rFonts w:ascii="宋体" w:hAnsi="宋体" w:cs="宋体"/>
          <w:sz w:val="24"/>
        </w:rPr>
      </w:pPr>
      <w:r>
        <w:rPr>
          <w:rFonts w:hint="eastAsia" w:ascii="宋体" w:hAnsi="宋体" w:cs="宋体"/>
          <w:sz w:val="24"/>
        </w:rPr>
        <w:t>地址：</w:t>
      </w:r>
      <w:r>
        <w:rPr>
          <w:rFonts w:hint="eastAsia" w:ascii="宋体" w:hAnsi="宋体" w:cs="宋体"/>
          <w:sz w:val="24"/>
          <w:lang w:val="en-US" w:eastAsia="zh-CN"/>
        </w:rPr>
        <w:t xml:space="preserve">广州市从化区温泉镇冲口路7号     </w:t>
      </w:r>
      <w:r>
        <w:rPr>
          <w:rFonts w:hint="eastAsia" w:ascii="宋体" w:hAnsi="宋体" w:cs="宋体"/>
          <w:sz w:val="24"/>
        </w:rPr>
        <w:t>地址：</w:t>
      </w:r>
    </w:p>
    <w:p>
      <w:pPr>
        <w:spacing w:line="384" w:lineRule="auto"/>
        <w:rPr>
          <w:rFonts w:ascii="宋体" w:hAnsi="宋体" w:cs="宋体"/>
          <w:sz w:val="24"/>
        </w:rPr>
      </w:pPr>
      <w:r>
        <w:rPr>
          <w:rFonts w:hint="eastAsia" w:ascii="宋体" w:hAnsi="宋体" w:cs="宋体"/>
          <w:sz w:val="24"/>
        </w:rPr>
        <w:t>经办人：</w:t>
      </w:r>
      <w:r>
        <w:rPr>
          <w:rFonts w:hint="eastAsia" w:ascii="宋体" w:hAnsi="宋体" w:cs="宋体"/>
          <w:sz w:val="24"/>
          <w:lang w:val="en-US" w:eastAsia="zh-CN"/>
        </w:rPr>
        <w:t xml:space="preserve">                               </w:t>
      </w:r>
      <w:r>
        <w:rPr>
          <w:rFonts w:hint="eastAsia" w:ascii="宋体" w:hAnsi="宋体" w:cs="宋体"/>
          <w:sz w:val="24"/>
        </w:rPr>
        <w:t>经办人：</w:t>
      </w:r>
    </w:p>
    <w:p>
      <w:pPr>
        <w:spacing w:line="384" w:lineRule="auto"/>
        <w:rPr>
          <w:rFonts w:ascii="宋体" w:hAnsi="宋体" w:cs="宋体"/>
          <w:sz w:val="24"/>
        </w:rPr>
      </w:pPr>
      <w:r>
        <w:rPr>
          <w:rFonts w:hint="eastAsia" w:ascii="宋体" w:hAnsi="宋体" w:cs="宋体"/>
          <w:sz w:val="24"/>
        </w:rPr>
        <w:t>联系电话：</w:t>
      </w:r>
      <w:r>
        <w:rPr>
          <w:rFonts w:hint="eastAsia" w:ascii="宋体" w:hAnsi="宋体" w:cs="宋体"/>
          <w:sz w:val="24"/>
          <w:lang w:val="en-US" w:eastAsia="zh-CN"/>
        </w:rPr>
        <w:t xml:space="preserve">37984611-6028                </w:t>
      </w:r>
      <w:r>
        <w:rPr>
          <w:rFonts w:hint="eastAsia" w:ascii="宋体" w:hAnsi="宋体" w:cs="宋体"/>
          <w:sz w:val="24"/>
        </w:rPr>
        <w:t>联系电话：</w:t>
      </w:r>
    </w:p>
    <w:p>
      <w:pPr>
        <w:spacing w:line="384" w:lineRule="auto"/>
        <w:ind w:left="6360" w:hanging="6360" w:hangingChars="2650"/>
        <w:rPr>
          <w:rFonts w:ascii="宋体" w:hAnsi="宋体" w:cs="宋体"/>
          <w:sz w:val="24"/>
        </w:rPr>
      </w:pPr>
      <w:r>
        <w:rPr>
          <w:rFonts w:hint="eastAsia" w:ascii="宋体" w:hAnsi="宋体" w:cs="宋体"/>
          <w:sz w:val="24"/>
        </w:rPr>
        <w:t>传真：</w:t>
      </w:r>
      <w:r>
        <w:rPr>
          <w:rFonts w:hint="eastAsia" w:ascii="宋体" w:hAnsi="宋体" w:cs="宋体"/>
          <w:sz w:val="24"/>
          <w:lang w:val="en-US" w:eastAsia="zh-CN"/>
        </w:rPr>
        <w:t xml:space="preserve">                                 </w:t>
      </w:r>
      <w:r>
        <w:rPr>
          <w:rFonts w:hint="eastAsia" w:ascii="宋体" w:hAnsi="宋体" w:cs="宋体"/>
          <w:sz w:val="24"/>
        </w:rPr>
        <w:t>传真：</w:t>
      </w:r>
    </w:p>
    <w:p>
      <w:pPr>
        <w:spacing w:line="384" w:lineRule="auto"/>
        <w:ind w:left="6360" w:hanging="6360" w:hangingChars="2650"/>
        <w:rPr>
          <w:rFonts w:ascii="宋体" w:hAnsi="宋体" w:cs="宋体"/>
          <w:sz w:val="24"/>
        </w:rPr>
      </w:pPr>
      <w:r>
        <w:rPr>
          <w:rFonts w:hint="eastAsia" w:ascii="宋体" w:hAnsi="宋体" w:cs="宋体"/>
          <w:sz w:val="24"/>
        </w:rPr>
        <w:t>签署日期：</w:t>
      </w:r>
      <w:r>
        <w:rPr>
          <w:rFonts w:hint="eastAsia" w:ascii="宋体" w:hAnsi="宋体" w:cs="宋体"/>
          <w:sz w:val="24"/>
          <w:lang w:val="en-US" w:eastAsia="zh-CN"/>
        </w:rPr>
        <w:t>2024</w:t>
      </w:r>
      <w:r>
        <w:rPr>
          <w:rFonts w:hint="eastAsia" w:ascii="宋体" w:hAnsi="宋体" w:cs="宋体"/>
          <w:sz w:val="24"/>
        </w:rPr>
        <w:t>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w:t>
      </w:r>
      <w:r>
        <w:rPr>
          <w:rFonts w:hint="eastAsia" w:ascii="宋体" w:hAnsi="宋体" w:cs="宋体"/>
          <w:sz w:val="24"/>
          <w:lang w:val="en-US" w:eastAsia="zh-CN"/>
        </w:rPr>
        <w:t xml:space="preserve">              </w:t>
      </w:r>
      <w:r>
        <w:rPr>
          <w:rFonts w:hint="eastAsia" w:ascii="宋体" w:hAnsi="宋体" w:cs="宋体"/>
          <w:sz w:val="24"/>
        </w:rPr>
        <w:t>签署日期：</w:t>
      </w:r>
      <w:r>
        <w:rPr>
          <w:rFonts w:hint="eastAsia" w:ascii="宋体" w:hAnsi="宋体" w:cs="宋体"/>
          <w:sz w:val="24"/>
          <w:lang w:val="en-US" w:eastAsia="zh-CN"/>
        </w:rPr>
        <w:t>2024</w:t>
      </w:r>
      <w:r>
        <w:rPr>
          <w:rFonts w:hint="eastAsia" w:ascii="宋体" w:hAnsi="宋体" w:cs="宋体"/>
          <w:sz w:val="24"/>
        </w:rPr>
        <w:t>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w:t>
      </w: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pStyle w:val="22"/>
        <w:rPr>
          <w:rFonts w:ascii="宋体" w:hAnsi="宋体" w:cs="宋体"/>
          <w:b/>
          <w:bCs/>
          <w:szCs w:val="21"/>
        </w:rPr>
      </w:pPr>
    </w:p>
    <w:p>
      <w:pPr>
        <w:pStyle w:val="22"/>
        <w:rPr>
          <w:rFonts w:ascii="宋体" w:hAnsi="宋体" w:cs="宋体"/>
          <w:b/>
          <w:bCs/>
          <w:szCs w:val="21"/>
        </w:rPr>
      </w:pPr>
    </w:p>
    <w:p>
      <w:pPr>
        <w:pStyle w:val="22"/>
        <w:rPr>
          <w:rFonts w:ascii="宋体" w:hAnsi="宋体" w:cs="宋体"/>
          <w:b/>
          <w:bCs/>
          <w:szCs w:val="21"/>
        </w:rPr>
      </w:pPr>
    </w:p>
    <w:p>
      <w:pPr>
        <w:pStyle w:val="22"/>
        <w:ind w:left="0" w:leftChars="0" w:firstLine="0" w:firstLineChars="0"/>
        <w:rPr>
          <w:rFonts w:ascii="宋体" w:hAnsi="宋体" w:cs="宋体"/>
          <w:b/>
          <w:bCs/>
          <w:szCs w:val="21"/>
        </w:rPr>
      </w:pPr>
    </w:p>
    <w:p>
      <w:pPr>
        <w:spacing w:line="360" w:lineRule="auto"/>
        <w:rPr>
          <w:rFonts w:ascii="宋体" w:hAnsi="宋体" w:cs="宋体"/>
          <w:b/>
          <w:bCs/>
          <w:szCs w:val="21"/>
        </w:rPr>
      </w:pPr>
      <w:r>
        <w:rPr>
          <w:rFonts w:hint="eastAsia" w:ascii="宋体" w:hAnsi="宋体" w:cs="宋体"/>
          <w:b/>
          <w:bCs/>
          <w:szCs w:val="21"/>
        </w:rPr>
        <w:t>附件1  中标通知书/发包通知书/委托函（如有）</w:t>
      </w:r>
    </w:p>
    <w:p>
      <w:pPr>
        <w:spacing w:line="360" w:lineRule="auto"/>
        <w:jc w:val="both"/>
        <w:rPr>
          <w:rFonts w:hint="eastAsia" w:ascii="宋体" w:hAnsi="宋体" w:cs="宋体"/>
          <w:b/>
          <w:bCs/>
          <w:color w:val="auto"/>
          <w:szCs w:val="21"/>
        </w:rPr>
      </w:pPr>
      <w:bookmarkStart w:id="114" w:name="_Toc389815339"/>
      <w:bookmarkStart w:id="115" w:name="_Toc387080836"/>
      <w:bookmarkStart w:id="116" w:name="_Toc389815031"/>
      <w:r>
        <w:rPr>
          <w:rFonts w:hint="eastAsia" w:ascii="宋体" w:hAnsi="宋体" w:cs="宋体"/>
          <w:b/>
          <w:bCs/>
          <w:color w:val="auto"/>
          <w:szCs w:val="21"/>
        </w:rPr>
        <w:t>附件</w:t>
      </w:r>
      <w:r>
        <w:rPr>
          <w:rFonts w:ascii="宋体" w:hAnsi="宋体" w:cs="宋体"/>
          <w:b/>
          <w:bCs/>
          <w:color w:val="auto"/>
          <w:szCs w:val="21"/>
        </w:rPr>
        <w:t>2</w:t>
      </w:r>
      <w:r>
        <w:rPr>
          <w:rFonts w:hint="eastAsia" w:ascii="宋体" w:hAnsi="宋体" w:cs="宋体"/>
          <w:b/>
          <w:bCs/>
          <w:color w:val="auto"/>
          <w:szCs w:val="21"/>
        </w:rPr>
        <w:t>：廉洁协议</w:t>
      </w:r>
    </w:p>
    <w:p>
      <w:pPr>
        <w:keepNext w:val="0"/>
        <w:keepLines w:val="0"/>
        <w:pageBreakBefore w:val="0"/>
        <w:kinsoku/>
        <w:wordWrap/>
        <w:overflowPunct/>
        <w:topLinePunct w:val="0"/>
        <w:autoSpaceDE/>
        <w:autoSpaceDN/>
        <w:bidi w:val="0"/>
        <w:adjustRightInd/>
        <w:snapToGrid/>
        <w:spacing w:line="560" w:lineRule="exact"/>
        <w:ind w:firstLine="3640" w:firstLineChars="1300"/>
        <w:jc w:val="both"/>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廉洁协议</w:t>
      </w:r>
    </w:p>
    <w:p>
      <w:pPr>
        <w:keepNext w:val="0"/>
        <w:keepLines w:val="0"/>
        <w:pageBreakBefore w:val="0"/>
        <w:kinsoku/>
        <w:wordWrap/>
        <w:overflowPunct/>
        <w:topLinePunct w:val="0"/>
        <w:autoSpaceDE/>
        <w:autoSpaceDN/>
        <w:bidi w:val="0"/>
        <w:adjustRightInd/>
        <w:snapToGrid/>
        <w:spacing w:line="560" w:lineRule="exact"/>
        <w:ind w:firstLine="630" w:firstLineChars="225"/>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为促进双方诚信经营、廉洁从业，防范商业贿赂，保护国家、集体和当事人的合法权益，根据国家有关法律法规和广东省、广州市廉政建设的规定，</w:t>
      </w:r>
      <w:r>
        <w:rPr>
          <w:rFonts w:hint="eastAsia" w:ascii="仿宋_GB2312" w:hAnsi="仿宋_GB2312" w:eastAsia="仿宋_GB2312" w:cs="仿宋_GB2312"/>
          <w:b w:val="0"/>
          <w:bCs/>
          <w:color w:val="auto"/>
          <w:sz w:val="28"/>
          <w:szCs w:val="28"/>
          <w:highlight w:val="none"/>
          <w:u w:val="single"/>
          <w:lang w:eastAsia="zh-CN"/>
        </w:rPr>
        <w:t>广州从化净水</w:t>
      </w:r>
      <w:r>
        <w:rPr>
          <w:rFonts w:hint="eastAsia" w:ascii="仿宋_GB2312" w:hAnsi="仿宋_GB2312" w:eastAsia="仿宋_GB2312" w:cs="仿宋_GB2312"/>
          <w:b w:val="0"/>
          <w:bCs/>
          <w:color w:val="auto"/>
          <w:sz w:val="28"/>
          <w:szCs w:val="28"/>
          <w:highlight w:val="none"/>
          <w:u w:val="single"/>
        </w:rPr>
        <w:t>有限公司</w:t>
      </w:r>
      <w:r>
        <w:rPr>
          <w:rFonts w:hint="eastAsia" w:ascii="仿宋_GB2312" w:hAnsi="仿宋_GB2312" w:eastAsia="仿宋_GB2312" w:cs="仿宋_GB2312"/>
          <w:b w:val="0"/>
          <w:bCs/>
          <w:color w:val="auto"/>
          <w:sz w:val="28"/>
          <w:szCs w:val="28"/>
          <w:highlight w:val="none"/>
        </w:rPr>
        <w:t>(以下称甲方)与(以下称乙方)，特此订立本协议共同遵照执行。</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第一条 甲乙双方的权利和义务</w:t>
      </w:r>
    </w:p>
    <w:p>
      <w:pPr>
        <w:keepNext w:val="0"/>
        <w:keepLines w:val="0"/>
        <w:pageBreakBefore w:val="0"/>
        <w:kinsoku/>
        <w:wordWrap/>
        <w:overflowPunct/>
        <w:topLinePunct w:val="0"/>
        <w:autoSpaceDE/>
        <w:autoSpaceDN/>
        <w:bidi w:val="0"/>
        <w:adjustRightInd/>
        <w:snapToGrid/>
        <w:spacing w:line="560" w:lineRule="exact"/>
        <w:ind w:firstLine="420" w:firstLineChars="15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（一）甲乙双方严格遵守国家关于市场准入、项目招标投标、市场经营活动等有关法律、法规相关政策及廉政建设的各项规定。</w:t>
      </w:r>
    </w:p>
    <w:p>
      <w:pPr>
        <w:keepNext w:val="0"/>
        <w:keepLines w:val="0"/>
        <w:pageBreakBefore w:val="0"/>
        <w:kinsoku/>
        <w:wordWrap/>
        <w:overflowPunct/>
        <w:topLinePunct w:val="0"/>
        <w:autoSpaceDE/>
        <w:autoSpaceDN/>
        <w:bidi w:val="0"/>
        <w:adjustRightInd/>
        <w:snapToGrid/>
        <w:spacing w:line="560" w:lineRule="exact"/>
        <w:ind w:firstLine="420" w:firstLineChars="15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（二）严格执行</w:t>
      </w:r>
      <w:r>
        <w:rPr>
          <w:rFonts w:hint="eastAsia" w:ascii="仿宋_GB2312" w:hAnsi="仿宋_GB2312" w:eastAsia="仿宋_GB2312" w:cs="仿宋_GB2312"/>
          <w:b w:val="0"/>
          <w:bCs/>
          <w:color w:val="auto"/>
          <w:sz w:val="28"/>
          <w:szCs w:val="28"/>
          <w:highlight w:val="none"/>
          <w:u w:val="single"/>
          <w:lang w:val="en-US" w:eastAsia="zh-CN"/>
        </w:rPr>
        <w:t>从化公司2024年太平厂硫酸铝加药间改造项目</w:t>
      </w:r>
      <w:r>
        <w:rPr>
          <w:rFonts w:hint="eastAsia" w:ascii="仿宋_GB2312" w:hAnsi="仿宋_GB2312" w:eastAsia="仿宋_GB2312" w:cs="仿宋_GB2312"/>
          <w:b w:val="0"/>
          <w:bCs/>
          <w:color w:val="auto"/>
          <w:sz w:val="28"/>
          <w:szCs w:val="28"/>
          <w:highlight w:val="none"/>
        </w:rPr>
        <w:t>合同（以下简称：主合同），自觉履行合同约定的相关义务。</w:t>
      </w:r>
    </w:p>
    <w:p>
      <w:pPr>
        <w:keepNext w:val="0"/>
        <w:keepLines w:val="0"/>
        <w:pageBreakBefore w:val="0"/>
        <w:kinsoku/>
        <w:wordWrap/>
        <w:overflowPunct/>
        <w:topLinePunct w:val="0"/>
        <w:autoSpaceDE/>
        <w:autoSpaceDN/>
        <w:bidi w:val="0"/>
        <w:adjustRightInd/>
        <w:snapToGrid/>
        <w:spacing w:line="560" w:lineRule="exact"/>
        <w:ind w:firstLine="420" w:firstLineChars="15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（三）在业务活动中坚持公开、公正、诚信、透明的原则，不得损害国家、集体利益。</w:t>
      </w:r>
    </w:p>
    <w:p>
      <w:pPr>
        <w:keepNext w:val="0"/>
        <w:keepLines w:val="0"/>
        <w:pageBreakBefore w:val="0"/>
        <w:kinsoku/>
        <w:wordWrap/>
        <w:overflowPunct/>
        <w:topLinePunct w:val="0"/>
        <w:autoSpaceDE/>
        <w:autoSpaceDN/>
        <w:bidi w:val="0"/>
        <w:adjustRightInd/>
        <w:snapToGrid/>
        <w:spacing w:line="560" w:lineRule="exact"/>
        <w:ind w:firstLine="420" w:firstLineChars="15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（四）建立健全廉洁从业制度，开展廉洁教育，公布举报电话，监督并认真查处不廉洁及违法违纪行为。</w:t>
      </w:r>
    </w:p>
    <w:p>
      <w:pPr>
        <w:keepNext w:val="0"/>
        <w:keepLines w:val="0"/>
        <w:pageBreakBefore w:val="0"/>
        <w:kinsoku/>
        <w:wordWrap/>
        <w:overflowPunct/>
        <w:topLinePunct w:val="0"/>
        <w:autoSpaceDE/>
        <w:autoSpaceDN/>
        <w:bidi w:val="0"/>
        <w:adjustRightInd/>
        <w:snapToGrid/>
        <w:spacing w:line="560" w:lineRule="exact"/>
        <w:ind w:firstLine="420" w:firstLineChars="150"/>
        <w:textAlignment w:val="auto"/>
        <w:rPr>
          <w:rFonts w:hint="default" w:ascii="仿宋_GB2312" w:hAnsi="仿宋_GB2312" w:eastAsia="仿宋_GB2312" w:cs="仿宋_GB2312"/>
          <w:b w:val="0"/>
          <w:bCs/>
          <w:color w:val="auto"/>
          <w:sz w:val="28"/>
          <w:szCs w:val="28"/>
          <w:highlight w:val="none"/>
          <w:lang w:val="en-US" w:eastAsia="zh-CN"/>
        </w:rPr>
      </w:pPr>
      <w:r>
        <w:rPr>
          <w:rFonts w:hint="eastAsia" w:ascii="仿宋_GB2312" w:hAnsi="仿宋_GB2312" w:eastAsia="仿宋_GB2312" w:cs="仿宋_GB2312"/>
          <w:b w:val="0"/>
          <w:bCs/>
          <w:color w:val="auto"/>
          <w:sz w:val="28"/>
          <w:szCs w:val="28"/>
          <w:highlight w:val="none"/>
        </w:rPr>
        <w:t>（五）发现对方在业务活动中有不廉洁行为，应及时提醒对方纠正。情节严重的，应向其有关监督部门</w:t>
      </w:r>
      <w:r>
        <w:rPr>
          <w:rFonts w:hint="eastAsia" w:ascii="仿宋_GB2312" w:hAnsi="仿宋_GB2312" w:eastAsia="仿宋_GB2312" w:cs="仿宋_GB2312"/>
          <w:b w:val="0"/>
          <w:bCs/>
          <w:color w:val="auto"/>
          <w:sz w:val="28"/>
          <w:szCs w:val="28"/>
          <w:highlight w:val="none"/>
          <w:lang w:val="en-US" w:eastAsia="zh-CN"/>
        </w:rPr>
        <w:t>检举。</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第二条甲方的义务</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（一）甲方及其工作人员不得索要或接受乙方的礼金、有价证券和贵重物品，不得在乙方报销任何应由甲方或个人支付的费用等。</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keepNext w:val="0"/>
        <w:keepLines w:val="0"/>
        <w:pageBreakBefore w:val="0"/>
        <w:kinsoku/>
        <w:wordWrap/>
        <w:overflowPunct/>
        <w:topLinePunct w:val="0"/>
        <w:autoSpaceDE/>
        <w:autoSpaceDN/>
        <w:bidi w:val="0"/>
        <w:adjustRightInd/>
        <w:snapToGrid/>
        <w:spacing w:line="560" w:lineRule="exact"/>
        <w:ind w:left="15" w:leftChars="7"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（三）甲方及其工作人员不得要求或者接受乙方为其住房装修、婚丧嫁娶活动、配偶子女工作安排以及出国出境、旅游等提供方便等。</w:t>
      </w:r>
    </w:p>
    <w:p>
      <w:pPr>
        <w:keepNext w:val="0"/>
        <w:keepLines w:val="0"/>
        <w:pageBreakBefore w:val="0"/>
        <w:kinsoku/>
        <w:wordWrap/>
        <w:overflowPunct/>
        <w:topLinePunct w:val="0"/>
        <w:autoSpaceDE/>
        <w:autoSpaceDN/>
        <w:bidi w:val="0"/>
        <w:adjustRightInd/>
        <w:snapToGrid/>
        <w:spacing w:line="560" w:lineRule="exact"/>
        <w:ind w:left="15" w:leftChars="7"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（四）甲方工作人员不得在乙方或与乙方有股权关联的企业兼职，不得向乙方介绍家属或者亲友从事与甲方业务有关的经济活动。</w:t>
      </w:r>
    </w:p>
    <w:p>
      <w:pPr>
        <w:keepNext w:val="0"/>
        <w:keepLines w:val="0"/>
        <w:pageBreakBefore w:val="0"/>
        <w:kinsoku/>
        <w:wordWrap/>
        <w:overflowPunct/>
        <w:topLinePunct w:val="0"/>
        <w:autoSpaceDE/>
        <w:autoSpaceDN/>
        <w:bidi w:val="0"/>
        <w:adjustRightInd/>
        <w:snapToGrid/>
        <w:spacing w:line="560" w:lineRule="exact"/>
        <w:ind w:left="15" w:leftChars="7"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五）甲方工作人员不得以明显低于市场的价格向乙方购买房屋、汽车等物品；不得以明显高于市场的价格向乙方出售房屋、汽车等物品；不得使用乙方提供的与工作无关的房屋、汽车等物品；不得以其他交易形式非法收受请托人财物。</w:t>
      </w:r>
    </w:p>
    <w:p>
      <w:pPr>
        <w:keepNext w:val="0"/>
        <w:keepLines w:val="0"/>
        <w:pageBreakBefore w:val="0"/>
        <w:kinsoku/>
        <w:wordWrap/>
        <w:overflowPunct/>
        <w:topLinePunct w:val="0"/>
        <w:autoSpaceDE/>
        <w:autoSpaceDN/>
        <w:bidi w:val="0"/>
        <w:adjustRightInd/>
        <w:snapToGrid/>
        <w:spacing w:line="560" w:lineRule="exact"/>
        <w:ind w:left="15" w:leftChars="7"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（六）甲方工作人员不得利用职务之便收受乙方以回扣、手续费、加班费、咨询费、劳务费、协调费、辛苦费等各种名义给予或赠送的钱物。</w:t>
      </w:r>
    </w:p>
    <w:p>
      <w:pPr>
        <w:keepNext w:val="0"/>
        <w:keepLines w:val="0"/>
        <w:pageBreakBefore w:val="0"/>
        <w:kinsoku/>
        <w:wordWrap/>
        <w:overflowPunct/>
        <w:topLinePunct w:val="0"/>
        <w:autoSpaceDE/>
        <w:autoSpaceDN/>
        <w:bidi w:val="0"/>
        <w:adjustRightInd/>
        <w:snapToGrid/>
        <w:spacing w:line="560" w:lineRule="exact"/>
        <w:ind w:left="15" w:leftChars="7"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（七）甲方工作人员不得接受乙方给予或赠送的干股或红利。</w:t>
      </w:r>
    </w:p>
    <w:p>
      <w:pPr>
        <w:keepNext w:val="0"/>
        <w:keepLines w:val="0"/>
        <w:pageBreakBefore w:val="0"/>
        <w:kinsoku/>
        <w:wordWrap/>
        <w:overflowPunct/>
        <w:topLinePunct w:val="0"/>
        <w:autoSpaceDE/>
        <w:autoSpaceDN/>
        <w:bidi w:val="0"/>
        <w:adjustRightInd/>
        <w:snapToGrid/>
        <w:spacing w:line="560" w:lineRule="exact"/>
        <w:ind w:left="15" w:leftChars="7" w:firstLine="560" w:firstLineChars="200"/>
        <w:textAlignment w:val="auto"/>
        <w:rPr>
          <w:rFonts w:hint="eastAsia" w:ascii="仿宋_GB2312" w:hAnsi="仿宋_GB2312" w:eastAsia="仿宋_GB2312" w:cs="仿宋_GB2312"/>
          <w:b w:val="0"/>
          <w:bCs/>
          <w:color w:val="auto"/>
          <w:sz w:val="28"/>
          <w:szCs w:val="28"/>
          <w:highlight w:val="none"/>
          <w:lang w:val="en-US" w:eastAsia="zh-CN"/>
        </w:rPr>
      </w:pPr>
      <w:r>
        <w:rPr>
          <w:rFonts w:hint="eastAsia" w:ascii="仿宋_GB2312" w:hAnsi="仿宋_GB2312" w:eastAsia="仿宋_GB2312" w:cs="仿宋_GB2312"/>
          <w:b w:val="0"/>
          <w:bCs/>
          <w:color w:val="auto"/>
          <w:sz w:val="28"/>
          <w:szCs w:val="28"/>
          <w:highlight w:val="none"/>
          <w:lang w:val="en-US" w:eastAsia="zh-CN"/>
        </w:rPr>
        <w:t>(八）不得存在其他违反廉洁规定的行为。</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第三条乙方的义务</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（一）乙方不得以任何理由向甲方及其工作人员行贿或馈赠礼金、有价证券、贵重礼品。</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（二)乙方不得以任何名义为甲方及其工作人员报销应由甲方单位或个人支付的任何费用。</w:t>
      </w:r>
    </w:p>
    <w:p>
      <w:pPr>
        <w:keepNext w:val="0"/>
        <w:keepLines w:val="0"/>
        <w:pageBreakBefore w:val="0"/>
        <w:kinsoku/>
        <w:wordWrap/>
        <w:overflowPunct/>
        <w:topLinePunct w:val="0"/>
        <w:autoSpaceDE/>
        <w:autoSpaceDN/>
        <w:bidi w:val="0"/>
        <w:adjustRightInd/>
        <w:snapToGrid/>
        <w:spacing w:line="560" w:lineRule="exact"/>
        <w:ind w:left="25" w:leftChars="12"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（三）乙方不得以任何理由安排甲方工作人员参加可能影响相关业务公开、公正、公平性的宴请及娱乐活动。</w:t>
      </w:r>
    </w:p>
    <w:p>
      <w:pPr>
        <w:pStyle w:val="15"/>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（四）乙方不得为甲方单位和个人购置或提供通讯工具和高档办公用品等物品，也不得为甲方提供与工作无关的房屋、汽车等。</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（五）乙方不得擅自与甲方工作人员就</w:t>
      </w:r>
      <w:r>
        <w:rPr>
          <w:rFonts w:hint="eastAsia" w:ascii="仿宋_GB2312" w:hAnsi="仿宋_GB2312" w:eastAsia="仿宋_GB2312" w:cs="仿宋_GB2312"/>
          <w:b w:val="0"/>
          <w:bCs/>
          <w:color w:val="auto"/>
          <w:sz w:val="28"/>
          <w:szCs w:val="28"/>
          <w:highlight w:val="none"/>
          <w:lang w:val="en-US" w:eastAsia="zh-CN"/>
        </w:rPr>
        <w:t>主</w:t>
      </w:r>
      <w:r>
        <w:rPr>
          <w:rFonts w:hint="eastAsia" w:ascii="仿宋_GB2312" w:hAnsi="仿宋_GB2312" w:eastAsia="仿宋_GB2312" w:cs="仿宋_GB2312"/>
          <w:b w:val="0"/>
          <w:bCs/>
          <w:color w:val="auto"/>
          <w:sz w:val="28"/>
          <w:szCs w:val="28"/>
          <w:highlight w:val="none"/>
        </w:rPr>
        <w:t>合同中的质量、数量、价格、工程量、验收等条款进行私下商谈或者达成默契。</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（六）乙方不得以回扣、手续费、加班费、咨询费、劳务费、协调费、辛苦费等各种名义向甲方工作人员给予或赠送钱物。</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（七）乙方不得向甲方工作人员提供干股或红利。</w:t>
      </w:r>
    </w:p>
    <w:p>
      <w:pPr>
        <w:keepNext w:val="0"/>
        <w:keepLines w:val="0"/>
        <w:pageBreakBefore w:val="0"/>
        <w:kinsoku/>
        <w:wordWrap/>
        <w:overflowPunct/>
        <w:topLinePunct w:val="0"/>
        <w:autoSpaceDE/>
        <w:autoSpaceDN/>
        <w:bidi w:val="0"/>
        <w:adjustRightInd/>
        <w:snapToGrid/>
        <w:spacing w:line="560" w:lineRule="exact"/>
        <w:ind w:left="15" w:leftChars="7" w:firstLine="560" w:firstLineChars="200"/>
        <w:textAlignment w:val="auto"/>
        <w:rPr>
          <w:rFonts w:hint="eastAsia" w:ascii="仿宋_GB2312" w:hAnsi="仿宋_GB2312" w:eastAsia="仿宋_GB2312" w:cs="仿宋_GB2312"/>
          <w:b w:val="0"/>
          <w:bCs/>
          <w:color w:val="auto"/>
          <w:sz w:val="28"/>
          <w:szCs w:val="28"/>
          <w:highlight w:val="none"/>
          <w:lang w:val="en-US" w:eastAsia="zh-CN"/>
        </w:rPr>
      </w:pPr>
      <w:r>
        <w:rPr>
          <w:rFonts w:hint="eastAsia" w:ascii="仿宋_GB2312" w:hAnsi="仿宋_GB2312" w:eastAsia="仿宋_GB2312" w:cs="仿宋_GB2312"/>
          <w:b w:val="0"/>
          <w:bCs/>
          <w:color w:val="auto"/>
          <w:sz w:val="28"/>
          <w:szCs w:val="28"/>
          <w:highlight w:val="none"/>
          <w:lang w:val="en-US" w:eastAsia="zh-CN"/>
        </w:rPr>
        <w:t>(八）不得存在其他违反廉洁规定的行为。</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第四条违约责任</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（一）甲方及其工作人员违反本协议第一、二条。甲方按管理权限，对相关责任人依据有关规定给予处理；涉嫌犯罪的，移交司法机关追究刑事责任；给乙方单位造成经济损失的，应予以赔偿。</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甲方举报投诉联系部门：</w:t>
      </w:r>
      <w:r>
        <w:rPr>
          <w:rFonts w:hint="eastAsia" w:ascii="仿宋_GB2312" w:hAnsi="仿宋_GB2312" w:eastAsia="仿宋_GB2312" w:cs="仿宋_GB2312"/>
          <w:b w:val="0"/>
          <w:bCs/>
          <w:color w:val="auto"/>
          <w:sz w:val="28"/>
          <w:szCs w:val="28"/>
          <w:highlight w:val="none"/>
          <w:lang w:eastAsia="zh-CN"/>
        </w:rPr>
        <w:t>广州从化净水</w:t>
      </w:r>
      <w:r>
        <w:rPr>
          <w:rFonts w:hint="eastAsia" w:ascii="仿宋_GB2312" w:hAnsi="仿宋_GB2312" w:eastAsia="仿宋_GB2312" w:cs="仿宋_GB2312"/>
          <w:b w:val="0"/>
          <w:bCs/>
          <w:color w:val="auto"/>
          <w:sz w:val="28"/>
          <w:szCs w:val="28"/>
          <w:highlight w:val="none"/>
        </w:rPr>
        <w:t>有限公司</w:t>
      </w:r>
      <w:r>
        <w:rPr>
          <w:rFonts w:hint="eastAsia" w:ascii="仿宋_GB2312" w:hAnsi="仿宋_GB2312" w:eastAsia="仿宋_GB2312" w:cs="仿宋_GB2312"/>
          <w:b w:val="0"/>
          <w:bCs/>
          <w:color w:val="auto"/>
          <w:sz w:val="28"/>
          <w:szCs w:val="28"/>
          <w:highlight w:val="none"/>
          <w:u w:val="single"/>
        </w:rPr>
        <w:t>纪检室</w:t>
      </w:r>
      <w:r>
        <w:rPr>
          <w:rFonts w:hint="eastAsia" w:ascii="仿宋_GB2312" w:hAnsi="仿宋_GB2312" w:eastAsia="仿宋_GB2312" w:cs="仿宋_GB2312"/>
          <w:b w:val="0"/>
          <w:bCs/>
          <w:color w:val="auto"/>
          <w:sz w:val="28"/>
          <w:szCs w:val="28"/>
          <w:highlight w:val="none"/>
        </w:rPr>
        <w:t>，联系电话：</w:t>
      </w:r>
      <w:r>
        <w:rPr>
          <w:rFonts w:hint="eastAsia" w:ascii="仿宋_GB2312" w:hAnsi="仿宋_GB2312" w:eastAsia="仿宋_GB2312" w:cs="仿宋_GB2312"/>
          <w:b w:val="0"/>
          <w:bCs/>
          <w:color w:val="auto"/>
          <w:sz w:val="28"/>
          <w:szCs w:val="28"/>
          <w:highlight w:val="none"/>
          <w:u w:val="single"/>
        </w:rPr>
        <w:t xml:space="preserve"> 020-3</w:t>
      </w:r>
      <w:r>
        <w:rPr>
          <w:rFonts w:hint="eastAsia" w:ascii="仿宋_GB2312" w:hAnsi="仿宋_GB2312" w:eastAsia="仿宋_GB2312" w:cs="仿宋_GB2312"/>
          <w:b w:val="0"/>
          <w:bCs/>
          <w:color w:val="auto"/>
          <w:sz w:val="28"/>
          <w:szCs w:val="28"/>
          <w:highlight w:val="none"/>
          <w:u w:val="single"/>
          <w:lang w:val="en-US" w:eastAsia="zh-CN"/>
        </w:rPr>
        <w:t>7984611</w:t>
      </w:r>
      <w:r>
        <w:rPr>
          <w:rFonts w:hint="eastAsia" w:ascii="仿宋_GB2312" w:hAnsi="仿宋_GB2312" w:eastAsia="仿宋_GB2312" w:cs="仿宋_GB2312"/>
          <w:b w:val="0"/>
          <w:bCs/>
          <w:color w:val="auto"/>
          <w:sz w:val="28"/>
          <w:szCs w:val="28"/>
          <w:highlight w:val="none"/>
          <w:u w:val="single"/>
        </w:rPr>
        <w:t xml:space="preserve"> </w:t>
      </w:r>
      <w:r>
        <w:rPr>
          <w:rFonts w:hint="eastAsia" w:ascii="仿宋_GB2312" w:hAnsi="仿宋_GB2312" w:eastAsia="仿宋_GB2312" w:cs="仿宋_GB2312"/>
          <w:b w:val="0"/>
          <w:bCs/>
          <w:color w:val="auto"/>
          <w:sz w:val="28"/>
          <w:szCs w:val="28"/>
          <w:highlight w:val="none"/>
        </w:rPr>
        <w:t>。</w:t>
      </w:r>
    </w:p>
    <w:p>
      <w:pPr>
        <w:pStyle w:val="21"/>
        <w:keepNext w:val="0"/>
        <w:keepLines w:val="0"/>
        <w:pageBreakBefore w:val="0"/>
        <w:widowControl/>
        <w:suppressLineNumbers w:val="0"/>
        <w:kinsoku/>
        <w:wordWrap/>
        <w:overflowPunct/>
        <w:topLinePunct w:val="0"/>
        <w:autoSpaceDE/>
        <w:autoSpaceDN/>
        <w:bidi w:val="0"/>
        <w:adjustRightInd/>
        <w:snapToGrid/>
        <w:spacing w:line="560" w:lineRule="exact"/>
        <w:ind w:left="0" w:firstLine="0"/>
        <w:textAlignment w:val="auto"/>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（二）乙方及其工作人员</w:t>
      </w:r>
      <w:r>
        <w:rPr>
          <w:rFonts w:hint="eastAsia" w:ascii="仿宋_GB2312" w:hAnsi="仿宋_GB2312" w:eastAsia="仿宋_GB2312" w:cs="仿宋_GB2312"/>
          <w:b w:val="0"/>
          <w:bCs/>
          <w:i w:val="0"/>
          <w:iCs w:val="0"/>
          <w:caps w:val="0"/>
          <w:color w:val="auto"/>
          <w:spacing w:val="0"/>
          <w:sz w:val="28"/>
          <w:szCs w:val="28"/>
          <w:highlight w:val="none"/>
          <w:lang w:val="en-US" w:eastAsia="zh-CN"/>
        </w:rPr>
        <w:t>存在</w:t>
      </w:r>
      <w:r>
        <w:rPr>
          <w:rFonts w:hint="eastAsia" w:ascii="仿宋_GB2312" w:hAnsi="仿宋_GB2312" w:eastAsia="仿宋_GB2312" w:cs="仿宋_GB2312"/>
          <w:b w:val="0"/>
          <w:bCs/>
          <w:i w:val="0"/>
          <w:iCs w:val="0"/>
          <w:caps w:val="0"/>
          <w:color w:val="auto"/>
          <w:spacing w:val="0"/>
          <w:sz w:val="28"/>
          <w:szCs w:val="28"/>
          <w:highlight w:val="none"/>
        </w:rPr>
        <w:t>违反本协议第一、三条规定、或在甲方招标、询价等过程中违反法律法规中的廉洁规定</w:t>
      </w:r>
      <w:r>
        <w:rPr>
          <w:rFonts w:hint="eastAsia" w:ascii="仿宋_GB2312" w:hAnsi="仿宋_GB2312" w:eastAsia="仿宋_GB2312" w:cs="仿宋_GB2312"/>
          <w:b w:val="0"/>
          <w:bCs/>
          <w:i w:val="0"/>
          <w:iCs w:val="0"/>
          <w:caps w:val="0"/>
          <w:color w:val="auto"/>
          <w:spacing w:val="0"/>
          <w:sz w:val="28"/>
          <w:szCs w:val="28"/>
          <w:highlight w:val="none"/>
          <w:lang w:val="en-US" w:eastAsia="zh-CN"/>
        </w:rPr>
        <w:t>的行为</w:t>
      </w:r>
      <w:r>
        <w:rPr>
          <w:rFonts w:hint="eastAsia" w:ascii="仿宋_GB2312" w:hAnsi="仿宋_GB2312" w:eastAsia="仿宋_GB2312" w:cs="仿宋_GB2312"/>
          <w:b w:val="0"/>
          <w:bCs/>
          <w:i w:val="0"/>
          <w:iCs w:val="0"/>
          <w:caps w:val="0"/>
          <w:color w:val="auto"/>
          <w:spacing w:val="0"/>
          <w:sz w:val="28"/>
          <w:szCs w:val="28"/>
          <w:highlight w:val="none"/>
        </w:rPr>
        <w:t>，</w:t>
      </w:r>
      <w:r>
        <w:rPr>
          <w:rFonts w:hint="eastAsia" w:ascii="仿宋_GB2312" w:hAnsi="仿宋_GB2312" w:eastAsia="仿宋_GB2312" w:cs="仿宋_GB2312"/>
          <w:b w:val="0"/>
          <w:bCs/>
          <w:i w:val="0"/>
          <w:iCs w:val="0"/>
          <w:caps w:val="0"/>
          <w:color w:val="auto"/>
          <w:spacing w:val="0"/>
          <w:sz w:val="28"/>
          <w:szCs w:val="28"/>
          <w:highlight w:val="none"/>
          <w:lang w:val="en-US" w:eastAsia="zh-CN"/>
        </w:rPr>
        <w:t>无论该行为是否与主合同有关，</w:t>
      </w:r>
      <w:r>
        <w:rPr>
          <w:rFonts w:hint="eastAsia" w:ascii="仿宋_GB2312" w:hAnsi="仿宋_GB2312" w:eastAsia="仿宋_GB2312" w:cs="仿宋_GB2312"/>
          <w:b w:val="0"/>
          <w:bCs/>
          <w:i w:val="0"/>
          <w:iCs w:val="0"/>
          <w:caps w:val="0"/>
          <w:color w:val="auto"/>
          <w:spacing w:val="0"/>
          <w:sz w:val="28"/>
          <w:szCs w:val="28"/>
          <w:highlight w:val="none"/>
        </w:rPr>
        <w:t>甲方</w:t>
      </w:r>
      <w:r>
        <w:rPr>
          <w:rFonts w:hint="eastAsia" w:ascii="仿宋_GB2312" w:hAnsi="仿宋_GB2312" w:eastAsia="仿宋_GB2312" w:cs="仿宋_GB2312"/>
          <w:b w:val="0"/>
          <w:bCs/>
          <w:i w:val="0"/>
          <w:iCs w:val="0"/>
          <w:caps w:val="0"/>
          <w:color w:val="auto"/>
          <w:spacing w:val="0"/>
          <w:sz w:val="28"/>
          <w:szCs w:val="28"/>
          <w:highlight w:val="none"/>
          <w:lang w:val="en-US" w:eastAsia="zh-CN"/>
        </w:rPr>
        <w:t>均</w:t>
      </w:r>
      <w:r>
        <w:rPr>
          <w:rFonts w:hint="eastAsia" w:ascii="仿宋_GB2312" w:hAnsi="仿宋_GB2312" w:eastAsia="仿宋_GB2312" w:cs="仿宋_GB2312"/>
          <w:b w:val="0"/>
          <w:bCs/>
          <w:i w:val="0"/>
          <w:iCs w:val="0"/>
          <w:caps w:val="0"/>
          <w:color w:val="auto"/>
          <w:spacing w:val="0"/>
          <w:sz w:val="28"/>
          <w:szCs w:val="28"/>
          <w:highlight w:val="none"/>
        </w:rPr>
        <w:t>有权根据具体情节和造成的后果，对乙方采取以下处理</w:t>
      </w:r>
      <w:r>
        <w:rPr>
          <w:rFonts w:hint="eastAsia" w:ascii="仿宋_GB2312" w:hAnsi="仿宋_GB2312" w:eastAsia="仿宋_GB2312" w:cs="仿宋_GB2312"/>
          <w:b w:val="0"/>
          <w:bCs/>
          <w:i w:val="0"/>
          <w:iCs w:val="0"/>
          <w:caps w:val="0"/>
          <w:color w:val="auto"/>
          <w:spacing w:val="0"/>
          <w:sz w:val="28"/>
          <w:szCs w:val="28"/>
          <w:highlight w:val="none"/>
          <w:lang w:val="en-US" w:eastAsia="zh-CN"/>
        </w:rPr>
        <w:t>方式</w:t>
      </w:r>
      <w:r>
        <w:rPr>
          <w:rFonts w:hint="eastAsia" w:ascii="仿宋_GB2312" w:hAnsi="仿宋_GB2312" w:eastAsia="仿宋_GB2312" w:cs="仿宋_GB2312"/>
          <w:b w:val="0"/>
          <w:bCs/>
          <w:i w:val="0"/>
          <w:iCs w:val="0"/>
          <w:caps w:val="0"/>
          <w:color w:val="auto"/>
          <w:spacing w:val="0"/>
          <w:sz w:val="28"/>
          <w:szCs w:val="28"/>
          <w:highlight w:val="none"/>
        </w:rPr>
        <w:t>：</w:t>
      </w:r>
    </w:p>
    <w:p>
      <w:pPr>
        <w:pStyle w:val="21"/>
        <w:keepNext w:val="0"/>
        <w:keepLines w:val="0"/>
        <w:pageBreakBefore w:val="0"/>
        <w:widowControl/>
        <w:suppressLineNumbers w:val="0"/>
        <w:kinsoku/>
        <w:wordWrap/>
        <w:overflowPunct/>
        <w:topLinePunct w:val="0"/>
        <w:autoSpaceDE/>
        <w:autoSpaceDN/>
        <w:bidi w:val="0"/>
        <w:adjustRightInd/>
        <w:snapToGrid/>
        <w:spacing w:line="560" w:lineRule="exact"/>
        <w:ind w:left="0" w:firstLine="0"/>
        <w:textAlignment w:val="auto"/>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1、扣除主合同的全部履约保证金；</w:t>
      </w:r>
    </w:p>
    <w:p>
      <w:pPr>
        <w:pStyle w:val="21"/>
        <w:keepNext w:val="0"/>
        <w:keepLines w:val="0"/>
        <w:pageBreakBefore w:val="0"/>
        <w:widowControl/>
        <w:suppressLineNumbers w:val="0"/>
        <w:kinsoku/>
        <w:wordWrap/>
        <w:overflowPunct/>
        <w:topLinePunct w:val="0"/>
        <w:autoSpaceDE/>
        <w:autoSpaceDN/>
        <w:bidi w:val="0"/>
        <w:adjustRightInd/>
        <w:snapToGrid/>
        <w:spacing w:line="560" w:lineRule="exact"/>
        <w:ind w:left="0" w:firstLine="0"/>
        <w:textAlignment w:val="auto"/>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2、解除</w:t>
      </w:r>
      <w:r>
        <w:rPr>
          <w:rFonts w:hint="eastAsia" w:ascii="仿宋_GB2312" w:hAnsi="仿宋_GB2312" w:eastAsia="仿宋_GB2312" w:cs="仿宋_GB2312"/>
          <w:b w:val="0"/>
          <w:bCs/>
          <w:i w:val="0"/>
          <w:iCs w:val="0"/>
          <w:caps w:val="0"/>
          <w:color w:val="auto"/>
          <w:spacing w:val="0"/>
          <w:sz w:val="28"/>
          <w:szCs w:val="28"/>
          <w:highlight w:val="none"/>
          <w:lang w:val="en-US" w:eastAsia="zh-CN"/>
        </w:rPr>
        <w:t>主合同</w:t>
      </w:r>
      <w:r>
        <w:rPr>
          <w:rFonts w:hint="eastAsia" w:ascii="仿宋_GB2312" w:hAnsi="仿宋_GB2312" w:eastAsia="仿宋_GB2312" w:cs="仿宋_GB2312"/>
          <w:b w:val="0"/>
          <w:bCs/>
          <w:i w:val="0"/>
          <w:iCs w:val="0"/>
          <w:caps w:val="0"/>
          <w:color w:val="auto"/>
          <w:spacing w:val="0"/>
          <w:sz w:val="28"/>
          <w:szCs w:val="28"/>
          <w:highlight w:val="none"/>
        </w:rPr>
        <w:t>；</w:t>
      </w:r>
    </w:p>
    <w:p>
      <w:pPr>
        <w:pStyle w:val="21"/>
        <w:keepNext w:val="0"/>
        <w:keepLines w:val="0"/>
        <w:pageBreakBefore w:val="0"/>
        <w:widowControl/>
        <w:suppressLineNumbers w:val="0"/>
        <w:kinsoku/>
        <w:wordWrap/>
        <w:overflowPunct/>
        <w:topLinePunct w:val="0"/>
        <w:autoSpaceDE/>
        <w:autoSpaceDN/>
        <w:bidi w:val="0"/>
        <w:adjustRightInd/>
        <w:snapToGrid/>
        <w:spacing w:line="560" w:lineRule="exact"/>
        <w:ind w:left="0" w:firstLine="0"/>
        <w:textAlignment w:val="auto"/>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3、追究乙方其他违约责任；</w:t>
      </w:r>
    </w:p>
    <w:p>
      <w:pPr>
        <w:pStyle w:val="21"/>
        <w:keepNext w:val="0"/>
        <w:keepLines w:val="0"/>
        <w:pageBreakBefore w:val="0"/>
        <w:widowControl/>
        <w:suppressLineNumbers w:val="0"/>
        <w:kinsoku/>
        <w:wordWrap/>
        <w:overflowPunct/>
        <w:topLinePunct w:val="0"/>
        <w:autoSpaceDE/>
        <w:autoSpaceDN/>
        <w:bidi w:val="0"/>
        <w:adjustRightInd/>
        <w:snapToGrid/>
        <w:spacing w:line="560" w:lineRule="exact"/>
        <w:ind w:left="0" w:firstLine="0"/>
        <w:textAlignment w:val="auto"/>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4、根据甲方的有关规章制度，在一定时间内暂停乙方参与甲方及下属单位所有项目的交易资格；</w:t>
      </w:r>
    </w:p>
    <w:p>
      <w:pPr>
        <w:pStyle w:val="21"/>
        <w:keepNext w:val="0"/>
        <w:keepLines w:val="0"/>
        <w:pageBreakBefore w:val="0"/>
        <w:widowControl/>
        <w:suppressLineNumbers w:val="0"/>
        <w:kinsoku/>
        <w:wordWrap/>
        <w:overflowPunct/>
        <w:topLinePunct w:val="0"/>
        <w:autoSpaceDE/>
        <w:autoSpaceDN/>
        <w:bidi w:val="0"/>
        <w:adjustRightInd/>
        <w:snapToGrid/>
        <w:spacing w:line="560" w:lineRule="exact"/>
        <w:ind w:left="0" w:firstLine="0"/>
        <w:textAlignment w:val="auto"/>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5、根据甲方的有关规章制度，将乙方清退出甲方相关企业库；</w:t>
      </w:r>
    </w:p>
    <w:p>
      <w:pPr>
        <w:pStyle w:val="21"/>
        <w:keepNext w:val="0"/>
        <w:keepLines w:val="0"/>
        <w:pageBreakBefore w:val="0"/>
        <w:widowControl/>
        <w:suppressLineNumbers w:val="0"/>
        <w:kinsoku/>
        <w:wordWrap/>
        <w:overflowPunct/>
        <w:topLinePunct w:val="0"/>
        <w:autoSpaceDE/>
        <w:autoSpaceDN/>
        <w:bidi w:val="0"/>
        <w:adjustRightInd/>
        <w:snapToGrid/>
        <w:spacing w:line="560" w:lineRule="exact"/>
        <w:ind w:left="0" w:firstLine="0"/>
        <w:textAlignment w:val="auto"/>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6、根据甲方上级单位、行政主管部门的意见、决定执行；</w:t>
      </w:r>
    </w:p>
    <w:p>
      <w:pPr>
        <w:pStyle w:val="21"/>
        <w:keepNext w:val="0"/>
        <w:keepLines w:val="0"/>
        <w:pageBreakBefore w:val="0"/>
        <w:widowControl/>
        <w:suppressLineNumbers w:val="0"/>
        <w:kinsoku/>
        <w:wordWrap/>
        <w:overflowPunct/>
        <w:topLinePunct w:val="0"/>
        <w:autoSpaceDE/>
        <w:autoSpaceDN/>
        <w:bidi w:val="0"/>
        <w:adjustRightInd/>
        <w:snapToGrid/>
        <w:spacing w:line="560" w:lineRule="exact"/>
        <w:ind w:left="0" w:firstLine="0"/>
        <w:textAlignment w:val="auto"/>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7、按规定向有关行政监督部门、乙方业务管理部门进行投诉、报告。</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乙方无条件接受甲方的处理决定并承担给甲方造成的损失，全额返还通过不正当手段获取的非法所得，并承担相应的法律责任。</w:t>
      </w:r>
    </w:p>
    <w:p>
      <w:pPr>
        <w:keepNext w:val="0"/>
        <w:keepLines w:val="0"/>
        <w:pageBreakBefore w:val="0"/>
        <w:kinsoku/>
        <w:wordWrap/>
        <w:overflowPunct/>
        <w:topLinePunct w:val="0"/>
        <w:autoSpaceDE/>
        <w:autoSpaceDN/>
        <w:bidi w:val="0"/>
        <w:adjustRightInd/>
        <w:snapToGrid/>
        <w:spacing w:after="0" w:line="560" w:lineRule="exact"/>
        <w:ind w:firstLine="560" w:firstLineChars="200"/>
        <w:textAlignment w:val="auto"/>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sz w:val="28"/>
          <w:szCs w:val="28"/>
          <w:highlight w:val="none"/>
        </w:rPr>
        <w:t xml:space="preserve">第五条 </w:t>
      </w:r>
      <w:r>
        <w:rPr>
          <w:rFonts w:hint="eastAsia" w:ascii="仿宋_GB2312" w:hAnsi="仿宋_GB2312" w:eastAsia="仿宋_GB2312" w:cs="仿宋_GB2312"/>
          <w:b w:val="0"/>
          <w:bCs/>
          <w:color w:val="auto"/>
          <w:kern w:val="0"/>
          <w:sz w:val="28"/>
          <w:szCs w:val="28"/>
          <w:highlight w:val="none"/>
        </w:rPr>
        <w:t xml:space="preserve">本协议执行情况，接受有管辖权的纪检、监察部门的监督，双方应予以配合检查调查。 </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第六条本协议作为</w:t>
      </w:r>
      <w:r>
        <w:rPr>
          <w:rFonts w:hint="eastAsia" w:ascii="仿宋_GB2312" w:hAnsi="仿宋_GB2312" w:eastAsia="仿宋_GB2312" w:cs="仿宋_GB2312"/>
          <w:b w:val="0"/>
          <w:bCs/>
          <w:color w:val="auto"/>
          <w:sz w:val="28"/>
          <w:szCs w:val="28"/>
          <w:highlight w:val="none"/>
          <w:u w:val="single"/>
          <w:lang w:val="en-US" w:eastAsia="zh-CN"/>
        </w:rPr>
        <w:t xml:space="preserve">从化公司2024年太平厂硫酸铝加药间改造项目 </w:t>
      </w:r>
      <w:r>
        <w:rPr>
          <w:rFonts w:hint="eastAsia" w:ascii="仿宋_GB2312" w:hAnsi="仿宋_GB2312" w:eastAsia="仿宋_GB2312" w:cs="仿宋_GB2312"/>
          <w:b w:val="0"/>
          <w:bCs/>
          <w:color w:val="auto"/>
          <w:sz w:val="28"/>
          <w:szCs w:val="28"/>
          <w:highlight w:val="none"/>
        </w:rPr>
        <w:t>合同的附件，并具有同等的法律效力，本协议自双方签字盖章之日起生效，与主合同同时终止。</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第七条本协议一式</w:t>
      </w:r>
      <w:r>
        <w:rPr>
          <w:rFonts w:hint="eastAsia" w:ascii="仿宋_GB2312" w:hAnsi="仿宋_GB2312" w:eastAsia="仿宋_GB2312" w:cs="仿宋_GB2312"/>
          <w:b w:val="0"/>
          <w:bCs/>
          <w:color w:val="auto"/>
          <w:sz w:val="28"/>
          <w:szCs w:val="28"/>
          <w:highlight w:val="none"/>
          <w:lang w:val="en-US" w:eastAsia="zh-CN"/>
        </w:rPr>
        <w:t>五</w:t>
      </w:r>
      <w:r>
        <w:rPr>
          <w:rFonts w:hint="eastAsia" w:ascii="仿宋_GB2312" w:hAnsi="仿宋_GB2312" w:eastAsia="仿宋_GB2312" w:cs="仿宋_GB2312"/>
          <w:b w:val="0"/>
          <w:bCs/>
          <w:color w:val="auto"/>
          <w:sz w:val="28"/>
          <w:szCs w:val="28"/>
          <w:highlight w:val="none"/>
        </w:rPr>
        <w:t>份，甲方</w:t>
      </w:r>
      <w:r>
        <w:rPr>
          <w:rFonts w:hint="eastAsia" w:ascii="仿宋_GB2312" w:hAnsi="仿宋_GB2312" w:eastAsia="仿宋_GB2312" w:cs="仿宋_GB2312"/>
          <w:b w:val="0"/>
          <w:bCs/>
          <w:color w:val="auto"/>
          <w:sz w:val="28"/>
          <w:szCs w:val="28"/>
          <w:highlight w:val="none"/>
          <w:u w:val="single"/>
          <w:lang w:val="en-US" w:eastAsia="zh-CN"/>
        </w:rPr>
        <w:t>肆</w:t>
      </w:r>
      <w:r>
        <w:rPr>
          <w:rFonts w:hint="eastAsia" w:ascii="仿宋_GB2312" w:hAnsi="仿宋_GB2312" w:eastAsia="仿宋_GB2312" w:cs="仿宋_GB2312"/>
          <w:b w:val="0"/>
          <w:bCs/>
          <w:color w:val="auto"/>
          <w:sz w:val="28"/>
          <w:szCs w:val="28"/>
          <w:highlight w:val="none"/>
        </w:rPr>
        <w:t>份，乙方</w:t>
      </w:r>
      <w:r>
        <w:rPr>
          <w:rFonts w:hint="eastAsia" w:ascii="仿宋_GB2312" w:hAnsi="仿宋_GB2312" w:eastAsia="仿宋_GB2312" w:cs="仿宋_GB2312"/>
          <w:b w:val="0"/>
          <w:bCs/>
          <w:color w:val="auto"/>
          <w:sz w:val="28"/>
          <w:szCs w:val="28"/>
          <w:highlight w:val="none"/>
          <w:u w:val="single"/>
          <w:lang w:val="en-US" w:eastAsia="zh-CN"/>
        </w:rPr>
        <w:t>壹</w:t>
      </w:r>
      <w:r>
        <w:rPr>
          <w:rFonts w:hint="eastAsia" w:ascii="仿宋_GB2312" w:hAnsi="仿宋_GB2312" w:eastAsia="仿宋_GB2312" w:cs="仿宋_GB2312"/>
          <w:b w:val="0"/>
          <w:bCs/>
          <w:color w:val="auto"/>
          <w:sz w:val="28"/>
          <w:szCs w:val="28"/>
          <w:highlight w:val="none"/>
        </w:rPr>
        <w:t>份。</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甲方（盖章）：</w:t>
      </w:r>
      <w:r>
        <w:rPr>
          <w:rFonts w:hint="eastAsia" w:ascii="仿宋_GB2312" w:hAnsi="仿宋_GB2312" w:eastAsia="仿宋_GB2312" w:cs="仿宋_GB2312"/>
          <w:b w:val="0"/>
          <w:bCs/>
          <w:color w:val="auto"/>
          <w:sz w:val="28"/>
          <w:szCs w:val="28"/>
          <w:highlight w:val="none"/>
          <w:lang w:val="en-US" w:eastAsia="zh-CN"/>
        </w:rPr>
        <w:t>广州从化净水有限公司</w:t>
      </w:r>
      <w:r>
        <w:rPr>
          <w:rFonts w:hint="eastAsia" w:ascii="仿宋_GB2312" w:hAnsi="仿宋_GB2312" w:eastAsia="仿宋_GB2312" w:cs="仿宋_GB2312"/>
          <w:b w:val="0"/>
          <w:bCs/>
          <w:color w:val="auto"/>
          <w:sz w:val="28"/>
          <w:szCs w:val="28"/>
          <w:highlight w:val="none"/>
        </w:rPr>
        <w:t xml:space="preserve">  乙方（盖章）：</w:t>
      </w:r>
    </w:p>
    <w:p>
      <w:pPr>
        <w:pStyle w:val="33"/>
        <w:keepNext w:val="0"/>
        <w:keepLines w:val="0"/>
        <w:pageBreakBefore w:val="0"/>
        <w:tabs>
          <w:tab w:val="left" w:pos="5100"/>
        </w:tabs>
        <w:kinsoku/>
        <w:wordWrap/>
        <w:overflowPunct/>
        <w:topLinePunct w:val="0"/>
        <w:autoSpaceDE/>
        <w:autoSpaceDN/>
        <w:bidi w:val="0"/>
        <w:adjustRightInd/>
        <w:snapToGrid/>
        <w:spacing w:line="560" w:lineRule="exact"/>
        <w:ind w:left="7200" w:firstLine="0" w:firstLineChars="0"/>
        <w:jc w:val="left"/>
        <w:textAlignment w:val="auto"/>
        <w:rPr>
          <w:rFonts w:hint="eastAsia" w:ascii="仿宋_GB2312" w:hAnsi="仿宋_GB2312" w:eastAsia="仿宋_GB2312" w:cs="仿宋_GB2312"/>
          <w:b w:val="0"/>
          <w:bCs/>
          <w:color w:val="auto"/>
          <w:sz w:val="28"/>
          <w:szCs w:val="28"/>
          <w:highlight w:val="none"/>
        </w:rPr>
      </w:pPr>
    </w:p>
    <w:p>
      <w:pPr>
        <w:keepNext w:val="0"/>
        <w:keepLines w:val="0"/>
        <w:pageBreakBefore w:val="0"/>
        <w:tabs>
          <w:tab w:val="left" w:pos="5100"/>
        </w:tabs>
        <w:kinsoku/>
        <w:wordWrap/>
        <w:overflowPunct/>
        <w:topLinePunct w:val="0"/>
        <w:autoSpaceDE/>
        <w:autoSpaceDN/>
        <w:bidi w:val="0"/>
        <w:adjustRightInd/>
        <w:snapToGrid/>
        <w:spacing w:line="560" w:lineRule="exact"/>
        <w:ind w:left="7200" w:hanging="8400" w:hangingChars="30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签约代表：                         签约代表：</w:t>
      </w:r>
    </w:p>
    <w:p>
      <w:pPr>
        <w:keepNext w:val="0"/>
        <w:keepLines w:val="0"/>
        <w:pageBreakBefore w:val="0"/>
        <w:tabs>
          <w:tab w:val="left" w:pos="417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日期:</w:t>
      </w:r>
      <w:r>
        <w:rPr>
          <w:rFonts w:hint="eastAsia" w:ascii="仿宋_GB2312" w:hAnsi="仿宋_GB2312" w:eastAsia="仿宋_GB2312" w:cs="仿宋_GB2312"/>
          <w:b w:val="0"/>
          <w:bCs/>
          <w:color w:val="auto"/>
          <w:sz w:val="28"/>
          <w:szCs w:val="28"/>
          <w:highlight w:val="none"/>
          <w:lang w:val="en-US" w:eastAsia="zh-CN"/>
        </w:rPr>
        <w:t>2024</w:t>
      </w:r>
      <w:r>
        <w:rPr>
          <w:rFonts w:hint="eastAsia" w:ascii="仿宋_GB2312" w:hAnsi="仿宋_GB2312" w:eastAsia="仿宋_GB2312" w:cs="仿宋_GB2312"/>
          <w:b w:val="0"/>
          <w:bCs/>
          <w:color w:val="auto"/>
          <w:sz w:val="28"/>
          <w:szCs w:val="28"/>
          <w:highlight w:val="none"/>
        </w:rPr>
        <w:t>年  月  日</w:t>
      </w:r>
      <w:r>
        <w:rPr>
          <w:rFonts w:hint="eastAsia" w:ascii="仿宋_GB2312" w:hAnsi="仿宋_GB2312" w:eastAsia="仿宋_GB2312" w:cs="仿宋_GB2312"/>
          <w:b w:val="0"/>
          <w:bCs/>
          <w:color w:val="auto"/>
          <w:sz w:val="28"/>
          <w:szCs w:val="28"/>
          <w:highlight w:val="none"/>
        </w:rPr>
        <w:tab/>
      </w:r>
      <w:r>
        <w:rPr>
          <w:rFonts w:hint="eastAsia" w:ascii="仿宋_GB2312" w:hAnsi="仿宋_GB2312" w:eastAsia="仿宋_GB2312" w:cs="仿宋_GB2312"/>
          <w:b w:val="0"/>
          <w:bCs/>
          <w:color w:val="auto"/>
          <w:sz w:val="28"/>
          <w:szCs w:val="28"/>
          <w:highlight w:val="none"/>
          <w:lang w:val="en-US" w:eastAsia="zh-CN"/>
        </w:rPr>
        <w:t xml:space="preserve">     </w:t>
      </w:r>
      <w:r>
        <w:rPr>
          <w:rFonts w:hint="eastAsia" w:ascii="仿宋_GB2312" w:hAnsi="仿宋_GB2312" w:eastAsia="仿宋_GB2312" w:cs="仿宋_GB2312"/>
          <w:b w:val="0"/>
          <w:bCs/>
          <w:color w:val="auto"/>
          <w:sz w:val="28"/>
          <w:szCs w:val="28"/>
          <w:highlight w:val="none"/>
        </w:rPr>
        <w:t>日期：</w:t>
      </w:r>
      <w:r>
        <w:rPr>
          <w:rFonts w:hint="eastAsia" w:ascii="仿宋_GB2312" w:hAnsi="仿宋_GB2312" w:eastAsia="仿宋_GB2312" w:cs="仿宋_GB2312"/>
          <w:b w:val="0"/>
          <w:bCs/>
          <w:color w:val="auto"/>
          <w:sz w:val="28"/>
          <w:szCs w:val="28"/>
          <w:highlight w:val="none"/>
          <w:lang w:val="en-US" w:eastAsia="zh-CN"/>
        </w:rPr>
        <w:t>2024</w:t>
      </w:r>
      <w:r>
        <w:rPr>
          <w:rFonts w:hint="eastAsia" w:ascii="仿宋_GB2312" w:hAnsi="仿宋_GB2312" w:eastAsia="仿宋_GB2312" w:cs="仿宋_GB2312"/>
          <w:b w:val="0"/>
          <w:bCs/>
          <w:color w:val="auto"/>
          <w:sz w:val="28"/>
          <w:szCs w:val="28"/>
          <w:highlight w:val="none"/>
        </w:rPr>
        <w:t>年  月  日</w:t>
      </w:r>
    </w:p>
    <w:p>
      <w:pPr>
        <w:pStyle w:val="22"/>
        <w:ind w:left="0" w:leftChars="0" w:firstLine="0" w:firstLineChars="0"/>
        <w:rPr>
          <w:rFonts w:hint="eastAsia" w:ascii="宋体" w:hAnsi="宋体" w:cs="宋体"/>
          <w:b/>
          <w:szCs w:val="21"/>
        </w:rPr>
      </w:pPr>
    </w:p>
    <w:p>
      <w:pPr>
        <w:spacing w:line="360" w:lineRule="auto"/>
        <w:rPr>
          <w:rFonts w:ascii="宋体" w:hAnsi="宋体" w:cs="宋体"/>
          <w:b/>
          <w:szCs w:val="21"/>
        </w:rPr>
      </w:pPr>
      <w:r>
        <w:rPr>
          <w:rFonts w:hint="eastAsia" w:ascii="宋体" w:hAnsi="宋体" w:cs="宋体"/>
          <w:b/>
          <w:szCs w:val="21"/>
        </w:rPr>
        <w:t>附件</w:t>
      </w:r>
      <w:r>
        <w:rPr>
          <w:rFonts w:hint="eastAsia" w:ascii="宋体" w:hAnsi="宋体" w:cs="宋体"/>
          <w:b/>
          <w:szCs w:val="21"/>
          <w:lang w:val="en-US" w:eastAsia="zh-CN"/>
        </w:rPr>
        <w:t>3</w:t>
      </w:r>
      <w:r>
        <w:rPr>
          <w:rFonts w:hint="eastAsia" w:ascii="宋体" w:hAnsi="宋体" w:cs="宋体"/>
          <w:b/>
          <w:szCs w:val="21"/>
        </w:rPr>
        <w:t>：</w:t>
      </w:r>
      <w:bookmarkEnd w:id="114"/>
      <w:bookmarkEnd w:id="115"/>
      <w:bookmarkEnd w:id="116"/>
      <w:r>
        <w:rPr>
          <w:rFonts w:hint="eastAsia" w:ascii="宋体" w:hAnsi="宋体" w:cs="宋体"/>
          <w:b/>
          <w:szCs w:val="21"/>
        </w:rPr>
        <w:t>安全管理协议书</w:t>
      </w:r>
    </w:p>
    <w:p>
      <w:pPr>
        <w:keepNext w:val="0"/>
        <w:keepLines w:val="0"/>
        <w:pageBreakBefore w:val="0"/>
        <w:widowControl w:val="0"/>
        <w:kinsoku/>
        <w:wordWrap/>
        <w:overflowPunct/>
        <w:topLinePunct w:val="0"/>
        <w:autoSpaceDE/>
        <w:autoSpaceDN/>
        <w:bidi w:val="0"/>
        <w:spacing w:line="360" w:lineRule="auto"/>
        <w:jc w:val="center"/>
        <w:textAlignment w:val="auto"/>
        <w:rPr>
          <w:rFonts w:ascii="宋体" w:hAnsi="宋体" w:cs="宋体"/>
          <w:b/>
          <w:bCs/>
          <w:sz w:val="24"/>
        </w:rPr>
      </w:pPr>
    </w:p>
    <w:p>
      <w:pPr>
        <w:keepNext w:val="0"/>
        <w:keepLines w:val="0"/>
        <w:pageBreakBefore w:val="0"/>
        <w:widowControl w:val="0"/>
        <w:kinsoku/>
        <w:wordWrap/>
        <w:overflowPunct/>
        <w:topLinePunct w:val="0"/>
        <w:autoSpaceDE/>
        <w:autoSpaceDN/>
        <w:bidi w:val="0"/>
        <w:spacing w:line="360" w:lineRule="auto"/>
        <w:jc w:val="center"/>
        <w:textAlignment w:val="auto"/>
        <w:rPr>
          <w:rFonts w:ascii="黑体" w:hAnsi="Batang" w:eastAsia="黑体" w:cs="Batang"/>
          <w:bCs/>
          <w:kern w:val="0"/>
          <w:sz w:val="44"/>
          <w:szCs w:val="44"/>
        </w:rPr>
      </w:pPr>
      <w:r>
        <w:rPr>
          <w:rFonts w:hint="eastAsia" w:ascii="黑体" w:hAnsi="Batang" w:eastAsia="黑体" w:cs="Batang"/>
          <w:bCs/>
          <w:kern w:val="0"/>
          <w:sz w:val="44"/>
          <w:szCs w:val="44"/>
        </w:rPr>
        <w:t>营运场所施工安全协议书</w:t>
      </w:r>
    </w:p>
    <w:p>
      <w:pPr>
        <w:keepNext w:val="0"/>
        <w:keepLines w:val="0"/>
        <w:pageBreakBefore w:val="0"/>
        <w:widowControl w:val="0"/>
        <w:kinsoku/>
        <w:wordWrap/>
        <w:overflowPunct/>
        <w:topLinePunct w:val="0"/>
        <w:autoSpaceDE/>
        <w:autoSpaceDN/>
        <w:bidi w:val="0"/>
        <w:spacing w:line="360" w:lineRule="auto"/>
        <w:textAlignment w:val="auto"/>
        <w:rPr>
          <w:rFonts w:ascii="仿宋_GB2312" w:hAnsi="宋体" w:eastAsia="仿宋_GB2312"/>
          <w:sz w:val="24"/>
        </w:rPr>
      </w:pPr>
    </w:p>
    <w:p>
      <w:pPr>
        <w:keepNext w:val="0"/>
        <w:keepLines w:val="0"/>
        <w:pageBreakBefore w:val="0"/>
        <w:widowControl w:val="0"/>
        <w:kinsoku/>
        <w:wordWrap/>
        <w:overflowPunct/>
        <w:topLinePunct w:val="0"/>
        <w:autoSpaceDE/>
        <w:autoSpaceDN/>
        <w:bidi w:val="0"/>
        <w:spacing w:line="360" w:lineRule="auto"/>
        <w:textAlignment w:val="auto"/>
        <w:rPr>
          <w:rFonts w:ascii="宋体" w:hAnsi="宋体" w:cs="Arial"/>
          <w:kern w:val="0"/>
          <w:sz w:val="24"/>
        </w:rPr>
      </w:pPr>
      <w:bookmarkStart w:id="117" w:name="_Toc21391"/>
      <w:r>
        <w:rPr>
          <w:rFonts w:hint="eastAsia" w:ascii="宋体" w:hAnsi="宋体" w:cs="Arial"/>
          <w:kern w:val="0"/>
          <w:sz w:val="24"/>
        </w:rPr>
        <w:t>甲方：</w:t>
      </w:r>
      <w:r>
        <w:rPr>
          <w:rFonts w:hint="eastAsia"/>
          <w:sz w:val="24"/>
          <w:lang w:eastAsia="zh-CN"/>
        </w:rPr>
        <w:t>广州从化净水</w:t>
      </w:r>
      <w:r>
        <w:rPr>
          <w:rFonts w:hint="eastAsia"/>
          <w:sz w:val="24"/>
        </w:rPr>
        <w:t>有限公司</w:t>
      </w:r>
    </w:p>
    <w:p>
      <w:pPr>
        <w:keepNext w:val="0"/>
        <w:keepLines w:val="0"/>
        <w:pageBreakBefore w:val="0"/>
        <w:widowControl w:val="0"/>
        <w:kinsoku/>
        <w:wordWrap/>
        <w:overflowPunct/>
        <w:topLinePunct w:val="0"/>
        <w:autoSpaceDE/>
        <w:autoSpaceDN/>
        <w:bidi w:val="0"/>
        <w:spacing w:line="360" w:lineRule="auto"/>
        <w:textAlignment w:val="auto"/>
        <w:rPr>
          <w:rFonts w:ascii="宋体" w:hAnsi="宋体" w:cs="Arial"/>
          <w:kern w:val="0"/>
          <w:sz w:val="24"/>
        </w:rPr>
      </w:pPr>
      <w:r>
        <w:rPr>
          <w:rFonts w:hint="eastAsia" w:ascii="宋体" w:hAnsi="宋体" w:cs="Arial"/>
          <w:kern w:val="0"/>
          <w:sz w:val="24"/>
        </w:rPr>
        <w:t xml:space="preserve">乙方： </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Style w:val="26"/>
          <w:rFonts w:asciiTheme="minorEastAsia" w:hAnsiTheme="minorEastAsia" w:eastAsiaTheme="minorEastAsia"/>
          <w:b w:val="0"/>
          <w:u w:val="single"/>
        </w:rPr>
      </w:pPr>
    </w:p>
    <w:bookmarkEnd w:id="117"/>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Theme="minorEastAsia" w:hAnsiTheme="minorEastAsia" w:eastAsiaTheme="minorEastAsia"/>
          <w:sz w:val="24"/>
        </w:rPr>
      </w:pPr>
      <w:r>
        <w:rPr>
          <w:rFonts w:hint="eastAsia" w:asciiTheme="minorEastAsia" w:hAnsiTheme="minorEastAsia" w:eastAsiaTheme="minorEastAsia"/>
          <w:sz w:val="24"/>
        </w:rPr>
        <w:t>根据《中华人民共和国安全生产法》《中华人民共和国建筑法》《建设工程安全生产管理条例》《生产安全事故报告和调查处理条例》《中华人民共和国职业病防治法》《工作场所职业卫生管理规定》《用人单位职业健康监护监督管理办法》《广州市职业卫生监督管理规定》等法律法规, 经双方协商，签订本协议书，以明确各自的安全生产、职业卫生责任并共同遵守。</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asciiTheme="minorEastAsia" w:hAnsiTheme="minorEastAsia" w:eastAsiaTheme="minorEastAsia"/>
          <w:b/>
          <w:sz w:val="24"/>
        </w:rPr>
      </w:pPr>
      <w:r>
        <w:rPr>
          <w:rFonts w:hint="eastAsia" w:asciiTheme="minorEastAsia" w:hAnsiTheme="minorEastAsia" w:eastAsiaTheme="minorEastAsia"/>
          <w:b/>
          <w:sz w:val="24"/>
        </w:rPr>
        <w:t>一、本协议与主合同的关系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Theme="minorEastAsia" w:hAnsiTheme="minorEastAsia" w:eastAsiaTheme="minorEastAsia"/>
          <w:sz w:val="24"/>
        </w:rPr>
      </w:pPr>
      <w:r>
        <w:rPr>
          <w:rFonts w:hint="eastAsia" w:asciiTheme="minorEastAsia" w:hAnsiTheme="minorEastAsia" w:eastAsiaTheme="minorEastAsia"/>
          <w:sz w:val="24"/>
        </w:rPr>
        <w:t>本协议作为</w:t>
      </w:r>
      <w:r>
        <w:rPr>
          <w:rFonts w:hint="eastAsia" w:asciiTheme="minorEastAsia" w:hAnsiTheme="minorEastAsia"/>
          <w:sz w:val="24"/>
          <w:u w:val="single"/>
          <w:lang w:val="en-US" w:eastAsia="zh-CN"/>
        </w:rPr>
        <w:t>从</w:t>
      </w:r>
      <w:r>
        <w:rPr>
          <w:rFonts w:hint="eastAsia" w:asciiTheme="minorEastAsia" w:hAnsiTheme="minorEastAsia" w:eastAsiaTheme="minorEastAsia"/>
          <w:sz w:val="24"/>
          <w:u w:val="single"/>
          <w:lang w:val="en-US" w:eastAsia="zh-CN"/>
        </w:rPr>
        <w:t>化公司2024年太平厂硫酸铝加药间改造项目合同</w:t>
      </w:r>
      <w:r>
        <w:rPr>
          <w:rFonts w:hint="eastAsia" w:asciiTheme="minorEastAsia" w:hAnsiTheme="minorEastAsia" w:eastAsiaTheme="minorEastAsia"/>
          <w:sz w:val="24"/>
        </w:rPr>
        <w:t>的组成部分，与主合同具有同等法律效力。</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asciiTheme="minorEastAsia" w:hAnsiTheme="minorEastAsia" w:eastAsiaTheme="minorEastAsia"/>
          <w:b/>
          <w:sz w:val="24"/>
        </w:rPr>
      </w:pPr>
      <w:r>
        <w:rPr>
          <w:rFonts w:asciiTheme="minorEastAsia" w:hAnsiTheme="minorEastAsia" w:eastAsiaTheme="minorEastAsia"/>
          <w:b/>
          <w:sz w:val="24"/>
        </w:rPr>
        <w:t xml:space="preserve"> 二、</w:t>
      </w:r>
      <w:r>
        <w:rPr>
          <w:rFonts w:hint="eastAsia" w:asciiTheme="minorEastAsia" w:hAnsiTheme="minorEastAsia" w:eastAsiaTheme="minorEastAsia"/>
          <w:b/>
          <w:sz w:val="24"/>
        </w:rPr>
        <w:t>甲方权责</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Theme="minorEastAsia" w:hAnsiTheme="minorEastAsia" w:eastAsiaTheme="minorEastAsia"/>
          <w:sz w:val="24"/>
        </w:rPr>
      </w:pPr>
      <w:r>
        <w:rPr>
          <w:rFonts w:hint="eastAsia" w:asciiTheme="minorEastAsia" w:hAnsiTheme="minorEastAsia" w:eastAsiaTheme="minorEastAsia"/>
          <w:sz w:val="24"/>
        </w:rPr>
        <w:t>（一）在甲方生产营运场所内施工的，告知乙方该场所已知存在的安全风险，并要求乙方在作业前应重新识别现场的安全风险并采取措施进行管控。</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Theme="minorEastAsia" w:hAnsiTheme="minorEastAsia" w:eastAsiaTheme="minorEastAsia"/>
          <w:sz w:val="24"/>
        </w:rPr>
      </w:pPr>
      <w:r>
        <w:rPr>
          <w:rFonts w:hint="eastAsia" w:asciiTheme="minorEastAsia" w:hAnsiTheme="minorEastAsia" w:eastAsiaTheme="minorEastAsia"/>
          <w:sz w:val="24"/>
        </w:rPr>
        <w:t>（二）落实生产营运等相关配合措施，提供必要的施工条件。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Theme="minorEastAsia" w:hAnsiTheme="minorEastAsia" w:eastAsiaTheme="minorEastAsia"/>
          <w:sz w:val="24"/>
        </w:rPr>
      </w:pPr>
      <w:r>
        <w:rPr>
          <w:rFonts w:hint="eastAsia" w:asciiTheme="minorEastAsia" w:hAnsiTheme="minorEastAsia" w:eastAsiaTheme="minorEastAsia"/>
          <w:sz w:val="24"/>
        </w:rPr>
        <w:t>（三）要求乙方遵守的甲方安全管理要求。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Theme="minorEastAsia" w:hAnsiTheme="minorEastAsia" w:eastAsiaTheme="minorEastAsia"/>
          <w:sz w:val="24"/>
        </w:rPr>
      </w:pPr>
      <w:r>
        <w:rPr>
          <w:rFonts w:hint="eastAsia" w:asciiTheme="minorEastAsia" w:hAnsiTheme="minorEastAsia" w:eastAsiaTheme="minorEastAsia"/>
          <w:sz w:val="24"/>
        </w:rPr>
        <w:t>（四）有权对乙方安全措施投入、现场安全施工情况等进行安全监督检查，并提出整改。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Theme="minorEastAsia" w:hAnsiTheme="minorEastAsia" w:eastAsiaTheme="minorEastAsia"/>
          <w:sz w:val="24"/>
        </w:rPr>
      </w:pPr>
      <w:r>
        <w:rPr>
          <w:rFonts w:hint="eastAsia" w:asciiTheme="minorEastAsia" w:hAnsiTheme="minorEastAsia" w:eastAsiaTheme="minorEastAsia"/>
          <w:sz w:val="24"/>
        </w:rPr>
        <w:t>（五）按照《</w:t>
      </w:r>
      <w:r>
        <w:rPr>
          <w:rFonts w:hint="eastAsia" w:asciiTheme="minorEastAsia" w:hAnsiTheme="minorEastAsia" w:eastAsiaTheme="minorEastAsia"/>
          <w:sz w:val="24"/>
          <w:lang w:eastAsia="zh-CN"/>
        </w:rPr>
        <w:t>广州从化净水</w:t>
      </w:r>
      <w:r>
        <w:rPr>
          <w:rFonts w:hint="eastAsia" w:asciiTheme="minorEastAsia" w:hAnsiTheme="minorEastAsia" w:eastAsiaTheme="minorEastAsia"/>
          <w:sz w:val="24"/>
        </w:rPr>
        <w:t>有限公司工程项目安全管理规范》等办法对乙方进行施工安全管理评价。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Theme="minorEastAsia" w:hAnsiTheme="minorEastAsia" w:eastAsiaTheme="minorEastAsia"/>
          <w:sz w:val="24"/>
        </w:rPr>
      </w:pPr>
      <w:r>
        <w:rPr>
          <w:rFonts w:hint="eastAsia" w:asciiTheme="minorEastAsia" w:hAnsiTheme="minorEastAsia" w:eastAsiaTheme="minorEastAsia"/>
          <w:sz w:val="24"/>
        </w:rPr>
        <w:t>（六）对于乙方不服从甲方管理，违反安全生产管理规定等违约行为的，甲方有权对乙方采取以下一种或以上的方式处理：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按主合同相关条款进行经济扣罚；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根据《广州市水务局关于印发广州市水务工程施工和监理企业诚信评价管理办法的通知》（穗水建设〔2</w:t>
      </w:r>
      <w:r>
        <w:rPr>
          <w:rFonts w:asciiTheme="minorEastAsia" w:hAnsiTheme="minorEastAsia" w:eastAsiaTheme="minorEastAsia"/>
          <w:sz w:val="24"/>
        </w:rPr>
        <w:t>014</w:t>
      </w:r>
      <w:r>
        <w:rPr>
          <w:rFonts w:hint="eastAsia" w:asciiTheme="minorEastAsia" w:hAnsiTheme="minorEastAsia" w:eastAsiaTheme="minorEastAsia"/>
          <w:sz w:val="24"/>
        </w:rPr>
        <w:t>〕1</w:t>
      </w:r>
      <w:r>
        <w:rPr>
          <w:rFonts w:asciiTheme="minorEastAsia" w:hAnsiTheme="minorEastAsia" w:eastAsiaTheme="minorEastAsia"/>
          <w:sz w:val="24"/>
        </w:rPr>
        <w:t>0</w:t>
      </w:r>
      <w:r>
        <w:rPr>
          <w:rFonts w:hint="eastAsia" w:asciiTheme="minorEastAsia" w:hAnsiTheme="minorEastAsia" w:eastAsiaTheme="minorEastAsia"/>
          <w:sz w:val="24"/>
        </w:rPr>
        <w:t>号）、《市净水公司关于印发施工和监理企业诚信评价工作实施办法的通知》（穗净水〔201</w:t>
      </w:r>
      <w:r>
        <w:rPr>
          <w:rFonts w:asciiTheme="minorEastAsia" w:hAnsiTheme="minorEastAsia" w:eastAsiaTheme="minorEastAsia"/>
          <w:sz w:val="24"/>
        </w:rPr>
        <w:t>5</w:t>
      </w:r>
      <w:r>
        <w:rPr>
          <w:rFonts w:hint="eastAsia" w:asciiTheme="minorEastAsia" w:hAnsiTheme="minorEastAsia" w:eastAsiaTheme="minorEastAsia"/>
          <w:sz w:val="24"/>
        </w:rPr>
        <w:t>〕2</w:t>
      </w:r>
      <w:r>
        <w:rPr>
          <w:rFonts w:asciiTheme="minorEastAsia" w:hAnsiTheme="minorEastAsia" w:eastAsiaTheme="minorEastAsia"/>
          <w:sz w:val="24"/>
        </w:rPr>
        <w:t>40</w:t>
      </w:r>
      <w:r>
        <w:rPr>
          <w:rFonts w:hint="eastAsia" w:asciiTheme="minorEastAsia" w:hAnsiTheme="minorEastAsia" w:eastAsiaTheme="minorEastAsia"/>
          <w:sz w:val="24"/>
        </w:rPr>
        <w:t>号），进行诚信扣分（合同期内有新的文件印发的，按照最新的文件执行）；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sz w:val="24"/>
        </w:rPr>
        <w:t>限制投保，或经其他单位承包后以分别方参与项目实施；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向上级进行反映，包括但不限于广东省市政行业协会、广州市市政公路协会等。</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cs="Arial"/>
          <w:kern w:val="0"/>
          <w:sz w:val="24"/>
        </w:rPr>
      </w:pPr>
      <w:r>
        <w:rPr>
          <w:rFonts w:hint="eastAsia" w:ascii="宋体" w:hAnsi="宋体" w:cs="Arial"/>
          <w:kern w:val="0"/>
          <w:sz w:val="24"/>
        </w:rPr>
        <w:t>（七）乙方对存在问题拒不整改的，或存在弄虚作假情况的，视为违约，甲方有权按主合同相关条款对乙方进行违约金扣罚。如乙方拒不缴纳违约金的，甲方有权在履约保证金中扣除。</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asciiTheme="minorEastAsia" w:hAnsiTheme="minorEastAsia" w:eastAsiaTheme="minorEastAsia"/>
          <w:b/>
          <w:sz w:val="24"/>
        </w:rPr>
      </w:pPr>
      <w:r>
        <w:rPr>
          <w:rFonts w:hint="eastAsia" w:asciiTheme="minorEastAsia" w:hAnsiTheme="minorEastAsia" w:eastAsiaTheme="minorEastAsia"/>
          <w:b/>
          <w:sz w:val="24"/>
        </w:rPr>
        <w:t>三、乙方权责</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Theme="minorEastAsia" w:hAnsiTheme="minorEastAsia" w:eastAsiaTheme="minorEastAsia"/>
          <w:sz w:val="24"/>
        </w:rPr>
      </w:pPr>
      <w:r>
        <w:rPr>
          <w:rFonts w:hint="eastAsia" w:asciiTheme="minorEastAsia" w:hAnsiTheme="minorEastAsia" w:eastAsiaTheme="minorEastAsia"/>
          <w:sz w:val="24"/>
        </w:rPr>
        <w:t>（一）在施工前重新识别现场的安全风险并采取措施进行管控。大型机械设备进场，需提前对设备行走、运输路线进行勘查，确保行走、运输过程中不会造成各种设施的破坏或二次事故。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Theme="minorEastAsia" w:hAnsiTheme="minorEastAsia" w:eastAsiaTheme="minorEastAsia"/>
          <w:sz w:val="24"/>
        </w:rPr>
      </w:pPr>
      <w:r>
        <w:rPr>
          <w:rFonts w:hint="eastAsia" w:asciiTheme="minorEastAsia" w:hAnsiTheme="minorEastAsia" w:eastAsiaTheme="minorEastAsia"/>
          <w:sz w:val="24"/>
        </w:rPr>
        <w:t>（二）严格执行国家、地方和行业主管部门关于施工的强制性标准、地方行政法规、管理要求。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Theme="minorEastAsia" w:hAnsiTheme="minorEastAsia" w:eastAsiaTheme="minorEastAsia"/>
          <w:sz w:val="24"/>
        </w:rPr>
      </w:pPr>
      <w:r>
        <w:rPr>
          <w:rFonts w:hint="eastAsia" w:asciiTheme="minorEastAsia" w:hAnsiTheme="minorEastAsia" w:eastAsiaTheme="minorEastAsia"/>
          <w:sz w:val="24"/>
        </w:rPr>
        <w:t>依法为施工现场作业的人员办理意外伤害保险、购买安全生产责任保险。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Theme="minorEastAsia" w:hAnsiTheme="minorEastAsia" w:eastAsiaTheme="minorEastAsia"/>
          <w:sz w:val="24"/>
        </w:rPr>
      </w:pPr>
      <w:r>
        <w:rPr>
          <w:rFonts w:hint="eastAsia" w:asciiTheme="minorEastAsia" w:hAnsiTheme="minorEastAsia" w:eastAsiaTheme="minorEastAsia"/>
          <w:sz w:val="24"/>
        </w:rPr>
        <w:t>（三）乙方应在合同签订后</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日内制定安全生产文明施工措施费投入使用计划，并提交甲方备案，保证施工安全措施投入。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Theme="minorEastAsia" w:hAnsiTheme="minorEastAsia" w:eastAsiaTheme="minorEastAsia"/>
          <w:sz w:val="24"/>
        </w:rPr>
      </w:pPr>
      <w:r>
        <w:rPr>
          <w:rFonts w:hint="eastAsia" w:asciiTheme="minorEastAsia" w:hAnsiTheme="minorEastAsia" w:eastAsiaTheme="minorEastAsia"/>
          <w:sz w:val="24"/>
        </w:rPr>
        <w:t>（四）严格按照甲方制定的《</w:t>
      </w:r>
      <w:r>
        <w:rPr>
          <w:rFonts w:hint="eastAsia" w:asciiTheme="minorEastAsia" w:hAnsiTheme="minorEastAsia" w:eastAsiaTheme="minorEastAsia"/>
          <w:sz w:val="24"/>
          <w:lang w:eastAsia="zh-CN"/>
        </w:rPr>
        <w:t>广州从化净水</w:t>
      </w:r>
      <w:r>
        <w:rPr>
          <w:rFonts w:hint="eastAsia" w:asciiTheme="minorEastAsia" w:hAnsiTheme="minorEastAsia" w:eastAsiaTheme="minorEastAsia"/>
          <w:sz w:val="24"/>
        </w:rPr>
        <w:t>有限公司工程项目安全管理规范》要求，落实各项安全管理工作。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Theme="minorEastAsia" w:hAnsiTheme="minorEastAsia" w:eastAsiaTheme="minorEastAsia"/>
          <w:sz w:val="24"/>
        </w:rPr>
      </w:pPr>
      <w:r>
        <w:rPr>
          <w:rFonts w:hint="eastAsia" w:asciiTheme="minorEastAsia" w:hAnsiTheme="minorEastAsia" w:eastAsiaTheme="minorEastAsia"/>
          <w:sz w:val="24"/>
        </w:rPr>
        <w:t>根据当前国家、行业或甲方近期安全管理的突出方面，或针对项目实际，有针对性地开展安全管理工作，接受甲方的安全管理评价。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Theme="minorEastAsia" w:hAnsiTheme="minorEastAsia" w:eastAsiaTheme="minorEastAsia"/>
          <w:sz w:val="24"/>
        </w:rPr>
      </w:pPr>
      <w:r>
        <w:rPr>
          <w:rFonts w:hint="eastAsia" w:asciiTheme="minorEastAsia" w:hAnsiTheme="minorEastAsia" w:eastAsiaTheme="minorEastAsia"/>
          <w:sz w:val="24"/>
        </w:rPr>
        <w:t>配合甲方的安全监督检查，并立即对提出的问题隐患进行整改。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Theme="minorEastAsia" w:hAnsiTheme="minorEastAsia" w:eastAsiaTheme="minorEastAsia"/>
          <w:sz w:val="24"/>
        </w:rPr>
      </w:pPr>
      <w:r>
        <w:rPr>
          <w:rFonts w:hint="eastAsia" w:asciiTheme="minorEastAsia" w:hAnsiTheme="minorEastAsia" w:eastAsiaTheme="minorEastAsia"/>
          <w:sz w:val="24"/>
        </w:rPr>
        <w:t>（五）落实人员实名制，在签订主合同前提供本项目全体人员已通过三级安全教育及职业健康体检的证明，确保全员没有职业病，禁止有职业禁忌证的人员从事禁忌证相关工作。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Theme="minorEastAsia" w:hAnsiTheme="minorEastAsia" w:eastAsiaTheme="minorEastAsia"/>
          <w:sz w:val="24"/>
        </w:rPr>
      </w:pPr>
      <w:r>
        <w:rPr>
          <w:rFonts w:hint="eastAsia" w:asciiTheme="minorEastAsia" w:hAnsiTheme="minorEastAsia" w:eastAsiaTheme="minorEastAsia"/>
          <w:sz w:val="24"/>
        </w:rPr>
        <w:t>乙方该项目的管理人员、作业人员（包括分包人员）每年由乙方单位依法开展安全生产教育培训，并保存好相关培训证明备查。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Theme="minorEastAsia" w:hAnsiTheme="minorEastAsia" w:eastAsiaTheme="minorEastAsia"/>
          <w:sz w:val="24"/>
        </w:rPr>
      </w:pPr>
      <w:r>
        <w:rPr>
          <w:rFonts w:hint="eastAsia" w:asciiTheme="minorEastAsia" w:hAnsiTheme="minorEastAsia" w:eastAsiaTheme="minorEastAsia"/>
          <w:sz w:val="24"/>
        </w:rPr>
        <w:t>施工过程中，项目管理人员、作业人员（包括分包人员）需进行调整的，必须书面向甲方请示，并获得甲方批准后方可执行变更。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Theme="minorEastAsia" w:hAnsiTheme="minorEastAsia" w:eastAsiaTheme="minorEastAsia"/>
          <w:sz w:val="24"/>
        </w:rPr>
      </w:pPr>
      <w:r>
        <w:rPr>
          <w:rFonts w:hint="eastAsia" w:asciiTheme="minorEastAsia" w:hAnsiTheme="minorEastAsia" w:eastAsiaTheme="minorEastAsia"/>
          <w:sz w:val="24"/>
        </w:rPr>
        <w:t>（六）建立应急管理体系，编制应急预案和现场处置方案，并定期组织开展应急演练。施工现场，乙方应根据施工方案在施工现场配置应急救援物资，并做好应急救援物资的定期检查，确保完好、有效。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Theme="minorEastAsia" w:hAnsiTheme="minorEastAsia" w:eastAsiaTheme="minorEastAsia"/>
          <w:sz w:val="24"/>
        </w:rPr>
      </w:pPr>
      <w:r>
        <w:rPr>
          <w:rFonts w:hint="eastAsia" w:asciiTheme="minorEastAsia" w:hAnsiTheme="minorEastAsia" w:eastAsiaTheme="minorEastAsia"/>
          <w:sz w:val="24"/>
        </w:rPr>
        <w:t>（七）发生突发事件时，应立即报甲方，并同时积极主动地开展应急救援，采取有效措施将事故影响控制在最小范围内。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Theme="minorEastAsia" w:hAnsiTheme="minorEastAsia" w:eastAsiaTheme="minorEastAsia"/>
          <w:sz w:val="24"/>
        </w:rPr>
      </w:pPr>
      <w:r>
        <w:rPr>
          <w:rFonts w:hint="eastAsia" w:asciiTheme="minorEastAsia" w:hAnsiTheme="minorEastAsia" w:eastAsiaTheme="minorEastAsia"/>
          <w:sz w:val="24"/>
        </w:rPr>
        <w:t>（八）严格履行本协议，遵守甲方各项管理规定，服从管理。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Theme="minorEastAsia" w:hAnsiTheme="minorEastAsia" w:eastAsiaTheme="minorEastAsia"/>
          <w:sz w:val="24"/>
        </w:rPr>
      </w:pPr>
      <w:r>
        <w:rPr>
          <w:rFonts w:hint="eastAsia" w:asciiTheme="minorEastAsia" w:hAnsiTheme="minorEastAsia" w:eastAsiaTheme="minorEastAsia"/>
          <w:sz w:val="24"/>
        </w:rPr>
        <w:t>（九）对甲方的违章指挥，拒绝执行，但需书面明确指出甲方所违反的具体法律法规、标准规范等。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Theme="minorEastAsia" w:hAnsiTheme="minorEastAsia" w:eastAsiaTheme="minorEastAsia"/>
          <w:sz w:val="24"/>
        </w:rPr>
      </w:pPr>
      <w:r>
        <w:rPr>
          <w:rFonts w:hint="eastAsia" w:asciiTheme="minorEastAsia" w:hAnsiTheme="minorEastAsia" w:eastAsiaTheme="minorEastAsia"/>
          <w:sz w:val="24"/>
        </w:rPr>
        <w:t>（十）乙方委托的第三方运输单位或个人，违反本协议的，全部责任均由乙方承担。</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asciiTheme="minorEastAsia" w:hAnsiTheme="minorEastAsia" w:eastAsiaTheme="minorEastAsia"/>
          <w:b/>
          <w:sz w:val="24"/>
        </w:rPr>
      </w:pPr>
      <w:r>
        <w:rPr>
          <w:rFonts w:hint="eastAsia" w:asciiTheme="minorEastAsia" w:hAnsiTheme="minorEastAsia" w:eastAsiaTheme="minorEastAsia"/>
          <w:b/>
          <w:sz w:val="24"/>
        </w:rPr>
        <w:t>四、事故责任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Theme="minorEastAsia" w:hAnsiTheme="minorEastAsia" w:eastAsiaTheme="minorEastAsia"/>
          <w:sz w:val="24"/>
        </w:rPr>
      </w:pPr>
      <w:r>
        <w:rPr>
          <w:rFonts w:hint="eastAsia" w:asciiTheme="minorEastAsia" w:hAnsiTheme="minorEastAsia" w:eastAsiaTheme="minorEastAsia"/>
          <w:sz w:val="24"/>
        </w:rPr>
        <w:t>（一）在乙方承包范围内，由于乙方责任发生生产安全事故时，造成的甲方、乙方或者第三方人身伤害事故，乙方负全部责任。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Theme="minorEastAsia" w:hAnsiTheme="minorEastAsia" w:eastAsiaTheme="minorEastAsia"/>
          <w:sz w:val="24"/>
        </w:rPr>
      </w:pPr>
      <w:r>
        <w:rPr>
          <w:rFonts w:hint="eastAsia" w:asciiTheme="minorEastAsia" w:hAnsiTheme="minorEastAsia" w:eastAsiaTheme="minorEastAsia"/>
          <w:sz w:val="24"/>
        </w:rPr>
        <w:t>（二）乙方人员违规进入甲方或第三方承包区域，造成事故的，乙方负全部事故责任；乙方人员遭受人身伤害的，乙方负全部责任。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Theme="minorEastAsia" w:hAnsiTheme="minorEastAsia" w:eastAsiaTheme="minorEastAsia"/>
          <w:sz w:val="24"/>
        </w:rPr>
      </w:pPr>
      <w:r>
        <w:rPr>
          <w:rFonts w:hint="eastAsia" w:asciiTheme="minorEastAsia" w:hAnsiTheme="minorEastAsia" w:eastAsiaTheme="minorEastAsia"/>
          <w:sz w:val="24"/>
        </w:rPr>
        <w:t>（三）同一生产区域内有两家及以上承包单位的，发生生产安全事故，侵害方负全部责任；共同责任造成的，按事故原因划分责任，不能达成一致的，根据政府有关部门的责任划分承担相应的事故责任和经济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Theme="minorEastAsia" w:hAnsiTheme="minorEastAsia" w:eastAsiaTheme="minorEastAsia"/>
          <w:sz w:val="24"/>
        </w:rPr>
      </w:pPr>
      <w:r>
        <w:rPr>
          <w:rFonts w:hint="eastAsia" w:asciiTheme="minorEastAsia" w:hAnsiTheme="minorEastAsia" w:eastAsiaTheme="minorEastAsia"/>
          <w:sz w:val="24"/>
        </w:rPr>
        <w:t>（四）乙方在甲方生产区域内发生生产安全事故后，必须在第一时间向甲方报告，迟报或者隐瞒不报生产安全事故，承担事故的全部责任。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Theme="minorEastAsia" w:hAnsiTheme="minorEastAsia" w:eastAsiaTheme="minorEastAsia"/>
          <w:sz w:val="24"/>
        </w:rPr>
      </w:pPr>
      <w:r>
        <w:rPr>
          <w:rFonts w:hint="eastAsia" w:asciiTheme="minorEastAsia" w:hAnsiTheme="minorEastAsia" w:eastAsiaTheme="minorEastAsia"/>
          <w:sz w:val="24"/>
        </w:rPr>
        <w:t>（五）乙方各类人员在甲方生产区域内发生人身伤害事故和其他事故，乙方应开展调查、处理、统计、上报并向甲方报告，配合甲方及有关部门开展事故调查。</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六）乙方造成的事故或造成事故扩大的，乙方须立即开展事故处置，并双倍赔偿甲方的全部损失（包括但不限于甲方的直接经济损失和间接经济损失、为处理事故支出的费用、为恢复正常生产产生的费用、因事故被有关单位追究的经济考核扣罚以及因造成第三方损失而支出的赔偿款、律师费、诉讼费等）。</w:t>
      </w:r>
    </w:p>
    <w:p>
      <w:pPr>
        <w:pStyle w:val="36"/>
        <w:keepNext w:val="0"/>
        <w:keepLines w:val="0"/>
        <w:pageBreakBefore w:val="0"/>
        <w:widowControl w:val="0"/>
        <w:kinsoku/>
        <w:wordWrap/>
        <w:overflowPunct/>
        <w:topLinePunct w:val="0"/>
        <w:autoSpaceDE/>
        <w:autoSpaceDN/>
        <w:bidi w:val="0"/>
        <w:spacing w:line="360" w:lineRule="auto"/>
        <w:ind w:firstLine="482" w:firstLineChars="200"/>
        <w:textAlignment w:val="auto"/>
        <w:rPr>
          <w:rFonts w:asciiTheme="minorEastAsia" w:hAnsiTheme="minorEastAsia" w:eastAsiaTheme="minorEastAsia"/>
          <w:sz w:val="24"/>
        </w:rPr>
      </w:pPr>
      <w:r>
        <w:rPr>
          <w:rFonts w:hint="eastAsia" w:asciiTheme="minorEastAsia" w:hAnsiTheme="minorEastAsia" w:eastAsiaTheme="minorEastAsia"/>
          <w:b/>
          <w:sz w:val="24"/>
        </w:rPr>
        <w:t>五、补充条款：</w:t>
      </w:r>
      <w:r>
        <w:rPr>
          <w:rFonts w:asciiTheme="minorEastAsia" w:hAnsiTheme="minorEastAsia" w:eastAsiaTheme="minorEastAsia"/>
          <w:sz w:val="24"/>
          <w:u w:val="single"/>
        </w:rPr>
        <w:t xml:space="preserve">      </w:t>
      </w:r>
      <w:r>
        <w:rPr>
          <w:rFonts w:hint="eastAsia" w:asciiTheme="minorEastAsia" w:hAnsiTheme="minorEastAsia"/>
          <w:sz w:val="24"/>
          <w:u w:val="single"/>
          <w:lang w:val="en-US" w:eastAsia="zh-CN"/>
        </w:rPr>
        <w:t>/</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asciiTheme="minorEastAsia" w:hAnsiTheme="minorEastAsia" w:eastAsiaTheme="minorEastAsia"/>
          <w:b/>
          <w:sz w:val="24"/>
        </w:rPr>
      </w:pPr>
      <w:r>
        <w:rPr>
          <w:rFonts w:hint="eastAsia" w:asciiTheme="minorEastAsia" w:hAnsiTheme="minorEastAsia" w:eastAsiaTheme="minorEastAsia"/>
          <w:b/>
          <w:sz w:val="24"/>
        </w:rPr>
        <w:t>六、附则</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Theme="minorEastAsia" w:hAnsiTheme="minorEastAsia" w:eastAsiaTheme="minorEastAsia"/>
          <w:sz w:val="24"/>
        </w:rPr>
      </w:pPr>
      <w:r>
        <w:rPr>
          <w:rFonts w:hint="eastAsia" w:asciiTheme="minorEastAsia" w:hAnsiTheme="minorEastAsia" w:eastAsiaTheme="minorEastAsia"/>
          <w:sz w:val="24"/>
        </w:rPr>
        <w:t>（一）本协议未尽事宜，依据有关法律、法规、规章处理。法律、法规、规章没有明确规定的，经双方协商处理解决。</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Theme="minorEastAsia" w:hAnsiTheme="minorEastAsia" w:eastAsiaTheme="minorEastAsia"/>
          <w:sz w:val="24"/>
        </w:rPr>
      </w:pPr>
      <w:r>
        <w:rPr>
          <w:rFonts w:hint="eastAsia" w:asciiTheme="minorEastAsia" w:hAnsiTheme="minorEastAsia" w:eastAsiaTheme="minorEastAsia"/>
          <w:sz w:val="24"/>
        </w:rPr>
        <w:t>（二）本协议与主合同同时签订、同时终止、同时生效，具有相同的法律效力，自甲方、乙方双方签字、盖章生效，甲方、乙方双方执持数量与主合同一致。</w:t>
      </w:r>
    </w:p>
    <w:p>
      <w:pPr>
        <w:adjustRightInd w:val="0"/>
        <w:snapToGrid w:val="0"/>
        <w:spacing w:line="560" w:lineRule="exact"/>
        <w:rPr>
          <w:rFonts w:ascii="仿宋_GB2312" w:eastAsia="仿宋_GB2312" w:hAnsiTheme="minorEastAsia"/>
          <w:sz w:val="24"/>
        </w:rPr>
      </w:pPr>
    </w:p>
    <w:tbl>
      <w:tblPr>
        <w:tblStyle w:val="2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73"/>
        <w:gridCol w:w="4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73" w:type="dxa"/>
          </w:tcPr>
          <w:p>
            <w:pPr>
              <w:adjustRightInd w:val="0"/>
              <w:snapToGrid w:val="0"/>
              <w:spacing w:line="560" w:lineRule="exact"/>
              <w:rPr>
                <w:rFonts w:hint="default" w:asciiTheme="minorEastAsia" w:hAnsiTheme="minorEastAsia" w:eastAsiaTheme="minorEastAsia"/>
                <w:sz w:val="24"/>
                <w:lang w:val="en-US" w:eastAsia="zh-CN"/>
              </w:rPr>
            </w:pPr>
            <w:r>
              <w:rPr>
                <w:rFonts w:hint="eastAsia" w:asciiTheme="minorEastAsia" w:hAnsiTheme="minorEastAsia" w:eastAsiaTheme="minorEastAsia"/>
                <w:sz w:val="24"/>
              </w:rPr>
              <w:t>甲方：</w:t>
            </w:r>
            <w:r>
              <w:rPr>
                <w:rFonts w:hint="eastAsia" w:asciiTheme="minorEastAsia" w:hAnsiTheme="minorEastAsia"/>
                <w:sz w:val="24"/>
                <w:lang w:val="en-US" w:eastAsia="zh-CN"/>
              </w:rPr>
              <w:t>广州从化净水有限公司</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签约代表：</w:t>
            </w:r>
          </w:p>
          <w:p>
            <w:pPr>
              <w:adjustRightInd w:val="0"/>
              <w:snapToGrid w:val="0"/>
              <w:spacing w:line="560" w:lineRule="exact"/>
              <w:rPr>
                <w:rFonts w:hint="default" w:asciiTheme="minorEastAsia" w:hAnsiTheme="minorEastAsia" w:eastAsiaTheme="minorEastAsia"/>
                <w:sz w:val="24"/>
                <w:lang w:val="en-US" w:eastAsia="zh-CN"/>
              </w:rPr>
            </w:pPr>
            <w:r>
              <w:rPr>
                <w:rFonts w:hint="eastAsia" w:asciiTheme="minorEastAsia" w:hAnsiTheme="minorEastAsia" w:eastAsiaTheme="minorEastAsia"/>
                <w:sz w:val="24"/>
              </w:rPr>
              <w:t>联系电话：</w:t>
            </w:r>
            <w:r>
              <w:rPr>
                <w:rFonts w:hint="eastAsia" w:asciiTheme="minorEastAsia" w:hAnsiTheme="minorEastAsia"/>
                <w:sz w:val="24"/>
                <w:lang w:val="en-US" w:eastAsia="zh-CN"/>
              </w:rPr>
              <w:t>37984611-6035</w:t>
            </w:r>
          </w:p>
          <w:p>
            <w:pPr>
              <w:adjustRightInd w:val="0"/>
              <w:snapToGrid w:val="0"/>
              <w:spacing w:line="560" w:lineRule="exact"/>
              <w:ind w:firstLine="240" w:firstLineChars="100"/>
              <w:jc w:val="right"/>
              <w:rPr>
                <w:rFonts w:asciiTheme="minorEastAsia" w:hAnsiTheme="minorEastAsia" w:eastAsiaTheme="minorEastAsia"/>
                <w:sz w:val="24"/>
              </w:rPr>
            </w:pPr>
            <w:r>
              <w:rPr>
                <w:rFonts w:hint="eastAsia" w:asciiTheme="minorEastAsia" w:hAnsiTheme="minorEastAsia"/>
                <w:sz w:val="24"/>
                <w:lang w:val="en-US" w:eastAsia="zh-CN"/>
              </w:rPr>
              <w:t>2024</w:t>
            </w:r>
            <w:r>
              <w:rPr>
                <w:rFonts w:hint="eastAsia" w:asciiTheme="minorEastAsia" w:hAnsiTheme="minorEastAsia" w:eastAsiaTheme="minorEastAsia"/>
                <w:sz w:val="24"/>
              </w:rPr>
              <w:t>年</w:t>
            </w:r>
            <w:r>
              <w:rPr>
                <w:rFonts w:asciiTheme="minorEastAsia" w:hAnsiTheme="minorEastAsia" w:eastAsiaTheme="minorEastAsia"/>
                <w:sz w:val="24"/>
              </w:rPr>
              <w:t xml:space="preserve">    </w:t>
            </w:r>
            <w:r>
              <w:rPr>
                <w:rFonts w:hint="eastAsia" w:asciiTheme="minorEastAsia" w:hAnsiTheme="minorEastAsia" w:eastAsiaTheme="minorEastAsia"/>
                <w:sz w:val="24"/>
              </w:rPr>
              <w:t>月</w:t>
            </w:r>
            <w:r>
              <w:rPr>
                <w:rFonts w:asciiTheme="minorEastAsia" w:hAnsiTheme="minorEastAsia" w:eastAsiaTheme="minorEastAsia"/>
                <w:sz w:val="24"/>
              </w:rPr>
              <w:t xml:space="preserve">    </w:t>
            </w:r>
            <w:r>
              <w:rPr>
                <w:rFonts w:hint="eastAsia" w:asciiTheme="minorEastAsia" w:hAnsiTheme="minorEastAsia" w:eastAsiaTheme="minorEastAsia"/>
                <w:sz w:val="24"/>
              </w:rPr>
              <w:t>日</w:t>
            </w:r>
          </w:p>
        </w:tc>
        <w:tc>
          <w:tcPr>
            <w:tcW w:w="4474" w:type="dxa"/>
          </w:tcPr>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乙方：</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签约代表：</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联系电话：</w:t>
            </w:r>
          </w:p>
          <w:p>
            <w:pPr>
              <w:adjustRightInd w:val="0"/>
              <w:snapToGrid w:val="0"/>
              <w:spacing w:line="560" w:lineRule="exact"/>
              <w:jc w:val="right"/>
              <w:rPr>
                <w:rFonts w:asciiTheme="minorEastAsia" w:hAnsiTheme="minorEastAsia" w:eastAsiaTheme="minorEastAsia"/>
                <w:sz w:val="24"/>
              </w:rPr>
            </w:pPr>
            <w:r>
              <w:rPr>
                <w:rFonts w:hint="eastAsia" w:asciiTheme="minorEastAsia" w:hAnsiTheme="minorEastAsia"/>
                <w:sz w:val="24"/>
                <w:lang w:val="en-US" w:eastAsia="zh-CN"/>
              </w:rPr>
              <w:t>2024</w:t>
            </w:r>
            <w:r>
              <w:rPr>
                <w:rFonts w:hint="eastAsia" w:asciiTheme="minorEastAsia" w:hAnsiTheme="minorEastAsia" w:eastAsiaTheme="minorEastAsia"/>
                <w:sz w:val="24"/>
              </w:rPr>
              <w:t>年</w:t>
            </w:r>
            <w:r>
              <w:rPr>
                <w:rFonts w:asciiTheme="minorEastAsia" w:hAnsiTheme="minorEastAsia" w:eastAsiaTheme="minorEastAsia"/>
                <w:sz w:val="24"/>
              </w:rPr>
              <w:t xml:space="preserve">    </w:t>
            </w:r>
            <w:r>
              <w:rPr>
                <w:rFonts w:hint="eastAsia" w:asciiTheme="minorEastAsia" w:hAnsiTheme="minorEastAsia" w:eastAsiaTheme="minorEastAsia"/>
                <w:sz w:val="24"/>
              </w:rPr>
              <w:t>月</w:t>
            </w:r>
            <w:r>
              <w:rPr>
                <w:rFonts w:asciiTheme="minorEastAsia" w:hAnsiTheme="minorEastAsia" w:eastAsiaTheme="minorEastAsia"/>
                <w:sz w:val="24"/>
              </w:rPr>
              <w:t xml:space="preserve">    </w:t>
            </w:r>
            <w:r>
              <w:rPr>
                <w:rFonts w:hint="eastAsia" w:asciiTheme="minorEastAsia" w:hAnsiTheme="minorEastAsia" w:eastAsiaTheme="minorEastAsia"/>
                <w:sz w:val="24"/>
              </w:rPr>
              <w:t>日</w:t>
            </w:r>
          </w:p>
        </w:tc>
      </w:tr>
    </w:tbl>
    <w:p>
      <w:pPr>
        <w:widowControl/>
        <w:spacing w:line="560" w:lineRule="exact"/>
        <w:ind w:firstLine="1560" w:firstLineChars="650"/>
        <w:jc w:val="left"/>
        <w:rPr>
          <w:rFonts w:ascii="宋体" w:hAnsi="宋体" w:cs="宋体"/>
          <w:kern w:val="0"/>
          <w:sz w:val="24"/>
        </w:rPr>
      </w:pPr>
    </w:p>
    <w:p>
      <w:pPr>
        <w:spacing w:line="360" w:lineRule="auto"/>
        <w:rPr>
          <w:rFonts w:ascii="宋体" w:hAnsi="宋体" w:cs="宋体"/>
          <w:b/>
          <w:bCs/>
          <w:szCs w:val="21"/>
        </w:rPr>
      </w:pPr>
    </w:p>
    <w:p>
      <w:pPr>
        <w:spacing w:line="360" w:lineRule="auto"/>
        <w:rPr>
          <w:rFonts w:ascii="宋体" w:hAnsi="宋体" w:cs="宋体"/>
          <w:b/>
          <w:bCs/>
          <w:szCs w:val="21"/>
        </w:rPr>
      </w:pPr>
    </w:p>
    <w:p>
      <w:pPr>
        <w:pStyle w:val="22"/>
        <w:rPr>
          <w:rFonts w:ascii="宋体" w:hAnsi="宋体" w:cs="宋体"/>
          <w:b/>
          <w:bCs/>
          <w:szCs w:val="21"/>
        </w:rPr>
      </w:pPr>
    </w:p>
    <w:p>
      <w:pPr>
        <w:pStyle w:val="22"/>
        <w:rPr>
          <w:rFonts w:ascii="宋体" w:hAnsi="宋体" w:cs="宋体"/>
          <w:b/>
          <w:bCs/>
          <w:szCs w:val="21"/>
        </w:rPr>
      </w:pPr>
    </w:p>
    <w:p>
      <w:pPr>
        <w:pStyle w:val="22"/>
        <w:rPr>
          <w:rFonts w:ascii="宋体" w:hAnsi="宋体" w:cs="宋体"/>
          <w:b/>
          <w:bCs/>
          <w:szCs w:val="21"/>
        </w:rPr>
      </w:pPr>
    </w:p>
    <w:p>
      <w:pPr>
        <w:pStyle w:val="22"/>
        <w:rPr>
          <w:rFonts w:ascii="宋体" w:hAnsi="宋体" w:cs="宋体"/>
          <w:b/>
          <w:bCs/>
          <w:szCs w:val="21"/>
        </w:rPr>
      </w:pPr>
    </w:p>
    <w:p>
      <w:pPr>
        <w:pStyle w:val="22"/>
        <w:rPr>
          <w:rFonts w:ascii="宋体" w:hAnsi="宋体" w:cs="宋体"/>
          <w:b/>
          <w:bCs/>
          <w:szCs w:val="21"/>
        </w:rPr>
      </w:pPr>
    </w:p>
    <w:p>
      <w:pPr>
        <w:pStyle w:val="22"/>
        <w:rPr>
          <w:rFonts w:ascii="宋体" w:hAnsi="宋体" w:cs="宋体"/>
          <w:b/>
          <w:bCs/>
          <w:szCs w:val="21"/>
        </w:rPr>
      </w:pPr>
    </w:p>
    <w:p>
      <w:pPr>
        <w:pStyle w:val="22"/>
        <w:rPr>
          <w:rFonts w:ascii="宋体" w:hAnsi="宋体" w:cs="宋体"/>
          <w:b/>
          <w:bCs/>
          <w:szCs w:val="21"/>
        </w:rPr>
      </w:pPr>
    </w:p>
    <w:p>
      <w:pPr>
        <w:pStyle w:val="22"/>
        <w:rPr>
          <w:rFonts w:ascii="宋体" w:hAnsi="宋体" w:cs="宋体"/>
          <w:b/>
          <w:bCs/>
          <w:szCs w:val="21"/>
        </w:rPr>
      </w:pPr>
    </w:p>
    <w:p>
      <w:pPr>
        <w:pStyle w:val="22"/>
        <w:rPr>
          <w:rFonts w:ascii="宋体" w:hAnsi="宋体" w:cs="宋体"/>
          <w:b/>
          <w:bCs/>
          <w:szCs w:val="21"/>
        </w:rPr>
      </w:pPr>
    </w:p>
    <w:p>
      <w:pPr>
        <w:spacing w:line="360" w:lineRule="auto"/>
        <w:rPr>
          <w:rFonts w:ascii="宋体" w:hAnsi="宋体" w:cs="宋体"/>
          <w:b/>
          <w:bCs/>
          <w:szCs w:val="21"/>
        </w:rPr>
      </w:pPr>
    </w:p>
    <w:p>
      <w:pPr>
        <w:spacing w:line="360" w:lineRule="auto"/>
        <w:rPr>
          <w:rFonts w:hint="eastAsia" w:ascii="宋体" w:hAnsi="宋体" w:cs="宋体" w:eastAsiaTheme="minorEastAsia"/>
          <w:b/>
          <w:bCs/>
          <w:szCs w:val="21"/>
          <w:lang w:val="en-US" w:eastAsia="zh-CN"/>
        </w:rPr>
      </w:pPr>
      <w:r>
        <w:rPr>
          <w:rFonts w:hint="eastAsia" w:ascii="宋体" w:hAnsi="宋体" w:cs="宋体"/>
          <w:b/>
          <w:bCs/>
          <w:szCs w:val="21"/>
        </w:rPr>
        <w:t>附件</w:t>
      </w:r>
      <w:r>
        <w:rPr>
          <w:rFonts w:hint="eastAsia" w:ascii="宋体" w:hAnsi="宋体" w:cs="宋体"/>
          <w:b/>
          <w:bCs/>
          <w:szCs w:val="21"/>
          <w:lang w:val="en-US" w:eastAsia="zh-CN"/>
        </w:rPr>
        <w:t>4</w:t>
      </w:r>
      <w:r>
        <w:rPr>
          <w:rFonts w:hint="eastAsia" w:ascii="宋体" w:hAnsi="宋体" w:cs="宋体"/>
          <w:b/>
          <w:bCs/>
          <w:szCs w:val="21"/>
        </w:rPr>
        <w:t>：工程量报价</w:t>
      </w:r>
      <w:r>
        <w:rPr>
          <w:rFonts w:hint="eastAsia" w:ascii="宋体" w:hAnsi="宋体" w:cs="宋体"/>
          <w:b/>
          <w:bCs/>
          <w:szCs w:val="21"/>
          <w:lang w:val="en-US" w:eastAsia="zh-CN"/>
        </w:rPr>
        <w:t>单</w:t>
      </w:r>
    </w:p>
    <w:p>
      <w:pPr>
        <w:spacing w:line="360" w:lineRule="auto"/>
        <w:jc w:val="center"/>
        <w:rPr>
          <w:rFonts w:hint="default" w:ascii="宋体" w:hAnsi="宋体" w:eastAsia="等线" w:cs="宋体"/>
          <w:sz w:val="24"/>
          <w:lang w:val="en-US" w:eastAsia="zh-CN"/>
        </w:rPr>
      </w:pPr>
    </w:p>
    <w:tbl>
      <w:tblPr>
        <w:tblStyle w:val="23"/>
        <w:tblW w:w="87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74"/>
        <w:gridCol w:w="4022"/>
        <w:gridCol w:w="64"/>
        <w:gridCol w:w="1531"/>
        <w:gridCol w:w="531"/>
        <w:gridCol w:w="16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80"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单位工程招标控制价汇总表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506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工程名称：从化公司2024年太平厂硫酸铝加药间改造项目</w:t>
            </w:r>
          </w:p>
        </w:tc>
        <w:tc>
          <w:tcPr>
            <w:tcW w:w="1531" w:type="dxa"/>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189"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974"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4022"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汇总内容</w:t>
            </w:r>
          </w:p>
        </w:tc>
        <w:tc>
          <w:tcPr>
            <w:tcW w:w="2126"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1658"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0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分部分项合计</w:t>
            </w:r>
          </w:p>
        </w:tc>
        <w:tc>
          <w:tcPr>
            <w:tcW w:w="21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措施合计</w:t>
            </w:r>
          </w:p>
        </w:tc>
        <w:tc>
          <w:tcPr>
            <w:tcW w:w="21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5541.26</w:t>
            </w:r>
          </w:p>
        </w:tc>
        <w:tc>
          <w:tcPr>
            <w:tcW w:w="16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40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绿色施工安全防护措施费</w:t>
            </w:r>
          </w:p>
        </w:tc>
        <w:tc>
          <w:tcPr>
            <w:tcW w:w="21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5541.26</w:t>
            </w:r>
          </w:p>
        </w:tc>
        <w:tc>
          <w:tcPr>
            <w:tcW w:w="16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40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其他措施费</w:t>
            </w:r>
          </w:p>
        </w:tc>
        <w:tc>
          <w:tcPr>
            <w:tcW w:w="21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0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其他项目</w:t>
            </w:r>
          </w:p>
        </w:tc>
        <w:tc>
          <w:tcPr>
            <w:tcW w:w="21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40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暂列金额</w:t>
            </w:r>
          </w:p>
        </w:tc>
        <w:tc>
          <w:tcPr>
            <w:tcW w:w="21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0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c>
          <w:tcPr>
            <w:tcW w:w="21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40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计日工</w:t>
            </w:r>
          </w:p>
        </w:tc>
        <w:tc>
          <w:tcPr>
            <w:tcW w:w="21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0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总承包服务费</w:t>
            </w:r>
          </w:p>
        </w:tc>
        <w:tc>
          <w:tcPr>
            <w:tcW w:w="21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40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预算包干费</w:t>
            </w:r>
          </w:p>
        </w:tc>
        <w:tc>
          <w:tcPr>
            <w:tcW w:w="21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40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工程优质费</w:t>
            </w:r>
          </w:p>
        </w:tc>
        <w:tc>
          <w:tcPr>
            <w:tcW w:w="21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40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概算幅度差</w:t>
            </w:r>
          </w:p>
        </w:tc>
        <w:tc>
          <w:tcPr>
            <w:tcW w:w="21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40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索赔费用</w:t>
            </w:r>
          </w:p>
        </w:tc>
        <w:tc>
          <w:tcPr>
            <w:tcW w:w="21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40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现场签证费用</w:t>
            </w:r>
          </w:p>
        </w:tc>
        <w:tc>
          <w:tcPr>
            <w:tcW w:w="21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40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其他费用</w:t>
            </w:r>
          </w:p>
        </w:tc>
        <w:tc>
          <w:tcPr>
            <w:tcW w:w="21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0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税前工程造价</w:t>
            </w:r>
          </w:p>
        </w:tc>
        <w:tc>
          <w:tcPr>
            <w:tcW w:w="21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0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增值税销项税额</w:t>
            </w:r>
          </w:p>
        </w:tc>
        <w:tc>
          <w:tcPr>
            <w:tcW w:w="21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0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总造价</w:t>
            </w:r>
          </w:p>
        </w:tc>
        <w:tc>
          <w:tcPr>
            <w:tcW w:w="21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0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w:t>
            </w:r>
          </w:p>
        </w:tc>
        <w:tc>
          <w:tcPr>
            <w:tcW w:w="21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74"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02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jc w:val="left"/>
            </w:pPr>
          </w:p>
        </w:tc>
        <w:tc>
          <w:tcPr>
            <w:tcW w:w="2126" w:type="dxa"/>
            <w:gridSpan w:val="3"/>
            <w:tcBorders>
              <w:top w:val="single" w:color="000000" w:sz="4" w:space="0"/>
              <w:left w:val="single" w:color="000000" w:sz="8"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8"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974" w:type="dxa"/>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4022" w:type="dxa"/>
            <w:tcBorders>
              <w:top w:val="nil"/>
              <w:left w:val="nil"/>
              <w:bottom w:val="nil"/>
              <w:right w:val="nil"/>
            </w:tcBorders>
            <w:shd w:val="clear" w:color="FFFFFF" w:fill="FFFFFF"/>
            <w:vAlign w:val="center"/>
          </w:tcPr>
          <w:p>
            <w:pPr>
              <w:jc w:val="left"/>
            </w:pPr>
          </w:p>
        </w:tc>
        <w:tc>
          <w:tcPr>
            <w:tcW w:w="2126" w:type="dxa"/>
            <w:gridSpan w:val="3"/>
            <w:tcBorders>
              <w:top w:val="nil"/>
              <w:left w:val="nil"/>
              <w:bottom w:val="nil"/>
              <w:right w:val="nil"/>
            </w:tcBorders>
            <w:shd w:val="clear" w:color="FFFFFF" w:fill="FFFFFF"/>
            <w:vAlign w:val="center"/>
          </w:tcPr>
          <w:p>
            <w:pPr>
              <w:jc w:val="right"/>
            </w:pPr>
          </w:p>
        </w:tc>
        <w:tc>
          <w:tcPr>
            <w:tcW w:w="1658" w:type="dxa"/>
            <w:tcBorders>
              <w:top w:val="nil"/>
              <w:left w:val="nil"/>
              <w:bottom w:val="nil"/>
              <w:right w:val="nil"/>
            </w:tcBorders>
            <w:shd w:val="clear" w:color="FFFFFF" w:fill="FFFFFF"/>
            <w:vAlign w:val="center"/>
          </w:tcPr>
          <w:p>
            <w:pPr>
              <w:jc w:val="right"/>
            </w:pPr>
          </w:p>
        </w:tc>
      </w:tr>
    </w:tbl>
    <w:p>
      <w:pPr>
        <w:pStyle w:val="46"/>
        <w:rPr>
          <w:rFonts w:ascii="宋体" w:hAnsi="宋体" w:cs="宋体"/>
          <w:b/>
          <w:bCs/>
          <w:szCs w:val="21"/>
        </w:rPr>
      </w:pPr>
    </w:p>
    <w:p>
      <w:pPr>
        <w:pStyle w:val="46"/>
        <w:rPr>
          <w:rFonts w:ascii="宋体" w:hAnsi="宋体" w:cs="宋体"/>
          <w:b/>
          <w:bCs/>
          <w:szCs w:val="21"/>
        </w:rPr>
      </w:pPr>
    </w:p>
    <w:tbl>
      <w:tblPr>
        <w:tblStyle w:val="23"/>
        <w:tblW w:w="88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64"/>
        <w:gridCol w:w="1416"/>
        <w:gridCol w:w="951"/>
        <w:gridCol w:w="1915"/>
        <w:gridCol w:w="180"/>
        <w:gridCol w:w="429"/>
        <w:gridCol w:w="752"/>
        <w:gridCol w:w="144"/>
        <w:gridCol w:w="772"/>
        <w:gridCol w:w="1116"/>
        <w:gridCol w:w="6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86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2" w:hRule="atLeast"/>
        </w:trPr>
        <w:tc>
          <w:tcPr>
            <w:tcW w:w="4846"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工程名称：从化公司2024年太平厂硫酸铝加药间改造项目</w:t>
            </w:r>
          </w:p>
        </w:tc>
        <w:tc>
          <w:tcPr>
            <w:tcW w:w="150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509"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trPr>
        <w:tc>
          <w:tcPr>
            <w:tcW w:w="564"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95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09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42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75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2653"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trPr>
        <w:tc>
          <w:tcPr>
            <w:tcW w:w="56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09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52"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16"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综合单价</w:t>
            </w:r>
          </w:p>
        </w:tc>
        <w:tc>
          <w:tcPr>
            <w:tcW w:w="1116"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62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trPr>
        <w:tc>
          <w:tcPr>
            <w:tcW w:w="56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09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52"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16"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pPr>
          </w:p>
        </w:tc>
        <w:tc>
          <w:tcPr>
            <w:tcW w:w="111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2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1" w:hRule="atLeast"/>
        </w:trPr>
        <w:tc>
          <w:tcPr>
            <w:tcW w:w="56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整个项目</w:t>
            </w:r>
          </w:p>
        </w:tc>
        <w:tc>
          <w:tcPr>
            <w:tcW w:w="2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62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3" w:hRule="atLeast"/>
        </w:trPr>
        <w:tc>
          <w:tcPr>
            <w:tcW w:w="56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050101006001</w:t>
            </w:r>
          </w:p>
        </w:tc>
        <w:tc>
          <w:tcPr>
            <w:tcW w:w="9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清除草皮</w:t>
            </w:r>
          </w:p>
        </w:tc>
        <w:tc>
          <w:tcPr>
            <w:tcW w:w="2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1.铲草，清理草坪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2.综合考虑:铲除方式及全部内容</w:t>
            </w:r>
          </w:p>
        </w:tc>
        <w:tc>
          <w:tcPr>
            <w:tcW w:w="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23.1</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62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4" w:hRule="atLeast"/>
        </w:trPr>
        <w:tc>
          <w:tcPr>
            <w:tcW w:w="56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010101001001</w:t>
            </w:r>
          </w:p>
        </w:tc>
        <w:tc>
          <w:tcPr>
            <w:tcW w:w="9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平整场地</w:t>
            </w:r>
          </w:p>
        </w:tc>
        <w:tc>
          <w:tcPr>
            <w:tcW w:w="2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1.平整场地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2.综合考虑:平整方式及范围</w:t>
            </w:r>
          </w:p>
        </w:tc>
        <w:tc>
          <w:tcPr>
            <w:tcW w:w="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23.1</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62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56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010103001001</w:t>
            </w:r>
          </w:p>
        </w:tc>
        <w:tc>
          <w:tcPr>
            <w:tcW w:w="9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回填方</w:t>
            </w:r>
          </w:p>
        </w:tc>
        <w:tc>
          <w:tcPr>
            <w:tcW w:w="2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1.回填砂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2.综合考虑:回填砂厚度</w:t>
            </w:r>
          </w:p>
        </w:tc>
        <w:tc>
          <w:tcPr>
            <w:tcW w:w="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62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1" w:hRule="atLeast"/>
        </w:trPr>
        <w:tc>
          <w:tcPr>
            <w:tcW w:w="56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040303002001</w:t>
            </w:r>
          </w:p>
        </w:tc>
        <w:tc>
          <w:tcPr>
            <w:tcW w:w="9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钢筋混凝土基础</w:t>
            </w:r>
          </w:p>
        </w:tc>
        <w:tc>
          <w:tcPr>
            <w:tcW w:w="2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1.混凝土强度等级:C30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2.钢筋规格:φ10mm</w:t>
            </w:r>
          </w:p>
        </w:tc>
        <w:tc>
          <w:tcPr>
            <w:tcW w:w="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6.775</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62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56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011702025001</w:t>
            </w:r>
          </w:p>
        </w:tc>
        <w:tc>
          <w:tcPr>
            <w:tcW w:w="9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砖砌围墙</w:t>
            </w:r>
          </w:p>
        </w:tc>
        <w:tc>
          <w:tcPr>
            <w:tcW w:w="2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1.构件类型:围墙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2.墙围厚度:35cm</w:t>
            </w:r>
          </w:p>
        </w:tc>
        <w:tc>
          <w:tcPr>
            <w:tcW w:w="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7</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62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56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060104013001</w:t>
            </w:r>
          </w:p>
        </w:tc>
        <w:tc>
          <w:tcPr>
            <w:tcW w:w="9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水泥砂浆整体面层</w:t>
            </w:r>
          </w:p>
        </w:tc>
        <w:tc>
          <w:tcPr>
            <w:tcW w:w="2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1.水泥砂浆整体面层 20mm</w:t>
            </w:r>
          </w:p>
        </w:tc>
        <w:tc>
          <w:tcPr>
            <w:tcW w:w="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7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59</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62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6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031201005001</w:t>
            </w:r>
          </w:p>
        </w:tc>
        <w:tc>
          <w:tcPr>
            <w:tcW w:w="9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围墙刷油</w:t>
            </w:r>
          </w:p>
        </w:tc>
        <w:tc>
          <w:tcPr>
            <w:tcW w:w="2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1.油漆品种:厚漆(黄色专业围墙油漆)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2.墙体抹灰:1遍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3.涂刷遍数:2遍</w:t>
            </w:r>
          </w:p>
        </w:tc>
        <w:tc>
          <w:tcPr>
            <w:tcW w:w="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30.5</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62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6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011303001001</w:t>
            </w:r>
          </w:p>
        </w:tc>
        <w:tc>
          <w:tcPr>
            <w:tcW w:w="9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遮雨棚制作、安装</w:t>
            </w:r>
          </w:p>
        </w:tc>
        <w:tc>
          <w:tcPr>
            <w:tcW w:w="2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1.骨架类型:不锈钢骨架，规格尺寸综合考虑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2.面层材料品种、规格:5mm厚PC耐力板</w:t>
            </w:r>
          </w:p>
        </w:tc>
        <w:tc>
          <w:tcPr>
            <w:tcW w:w="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36.25</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62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56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030113023001</w:t>
            </w:r>
          </w:p>
        </w:tc>
        <w:tc>
          <w:tcPr>
            <w:tcW w:w="9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药罐制作、安装、加固</w:t>
            </w:r>
          </w:p>
        </w:tc>
        <w:tc>
          <w:tcPr>
            <w:tcW w:w="2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1.药罐</w:t>
            </w:r>
            <w:r>
              <w:rPr>
                <w:rFonts w:hint="eastAsia" w:ascii="宋体" w:hAnsi="宋体" w:eastAsia="宋体" w:cs="宋体"/>
                <w:i w:val="0"/>
                <w:color w:val="000000"/>
                <w:kern w:val="0"/>
                <w:sz w:val="20"/>
                <w:szCs w:val="20"/>
                <w:u w:val="none"/>
                <w:lang w:val="en-US" w:eastAsia="zh-CN" w:bidi="ar"/>
              </w:rPr>
              <w:t>制作、安装、加固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2.材料做法:200mm的槽钢 40m(制作+安装），喷防腐漆进行加固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3.综合考虑全部内容</w:t>
            </w:r>
          </w:p>
        </w:tc>
        <w:tc>
          <w:tcPr>
            <w:tcW w:w="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7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62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1" w:hRule="atLeast"/>
        </w:trPr>
        <w:tc>
          <w:tcPr>
            <w:tcW w:w="56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040602017001</w:t>
            </w:r>
          </w:p>
        </w:tc>
        <w:tc>
          <w:tcPr>
            <w:tcW w:w="9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药桶搅拌机</w:t>
            </w:r>
          </w:p>
        </w:tc>
        <w:tc>
          <w:tcPr>
            <w:tcW w:w="2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1.类型:药桶搅拌机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3.参数:功率=3kw；转速=1480Rr/min</w:t>
            </w:r>
          </w:p>
        </w:tc>
        <w:tc>
          <w:tcPr>
            <w:tcW w:w="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3</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62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1" w:hRule="atLeast"/>
        </w:trPr>
        <w:tc>
          <w:tcPr>
            <w:tcW w:w="56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4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030109006001</w:t>
            </w:r>
          </w:p>
        </w:tc>
        <w:tc>
          <w:tcPr>
            <w:tcW w:w="9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隔膜泵安装</w:t>
            </w:r>
          </w:p>
        </w:tc>
        <w:tc>
          <w:tcPr>
            <w:tcW w:w="209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1.名称:隔膜泵 JXM-A44/1.2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2.型号:JXM-A44/1.2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3.规格:功率=1.5kw；转速=1480Rr/min</w:t>
            </w:r>
          </w:p>
        </w:tc>
        <w:tc>
          <w:tcPr>
            <w:tcW w:w="4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台</w:t>
            </w:r>
          </w:p>
        </w:tc>
        <w:tc>
          <w:tcPr>
            <w:tcW w:w="7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w:t>
            </w:r>
          </w:p>
        </w:tc>
        <w:tc>
          <w:tcPr>
            <w:tcW w:w="916"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62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1" w:hRule="atLeast"/>
        </w:trPr>
        <w:tc>
          <w:tcPr>
            <w:tcW w:w="564" w:type="dxa"/>
            <w:tcBorders>
              <w:top w:val="single" w:color="000000" w:sz="4" w:space="0"/>
              <w:left w:val="single" w:color="000000" w:sz="8" w:space="0"/>
              <w:bottom w:val="single" w:color="auto"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416" w:type="dxa"/>
            <w:tcBorders>
              <w:top w:val="single" w:color="000000" w:sz="4" w:space="0"/>
              <w:left w:val="single" w:color="000000" w:sz="8" w:space="0"/>
              <w:bottom w:val="single" w:color="auto" w:sz="4" w:space="0"/>
              <w:right w:val="single" w:color="000000"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031003008001</w:t>
            </w:r>
          </w:p>
        </w:tc>
        <w:tc>
          <w:tcPr>
            <w:tcW w:w="951" w:type="dxa"/>
            <w:tcBorders>
              <w:top w:val="single" w:color="000000" w:sz="4" w:space="0"/>
              <w:left w:val="single" w:color="000000" w:sz="8" w:space="0"/>
              <w:bottom w:val="single" w:color="auto" w:sz="4" w:space="0"/>
              <w:right w:val="single" w:color="000000"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Y型过滤器</w:t>
            </w:r>
          </w:p>
        </w:tc>
        <w:tc>
          <w:tcPr>
            <w:tcW w:w="2095" w:type="dxa"/>
            <w:gridSpan w:val="2"/>
            <w:tcBorders>
              <w:top w:val="single" w:color="000000" w:sz="4" w:space="0"/>
              <w:left w:val="single" w:color="000000" w:sz="8" w:space="0"/>
              <w:bottom w:val="single" w:color="auto" w:sz="4" w:space="0"/>
              <w:right w:val="single" w:color="000000"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1.材质:PE</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2.规格、压力等级:外径25mm</w:t>
            </w:r>
          </w:p>
        </w:tc>
        <w:tc>
          <w:tcPr>
            <w:tcW w:w="429" w:type="dxa"/>
            <w:tcBorders>
              <w:top w:val="single" w:color="000000" w:sz="4" w:space="0"/>
              <w:left w:val="single" w:color="000000" w:sz="8" w:space="0"/>
              <w:bottom w:val="single" w:color="auto" w:sz="4" w:space="0"/>
              <w:right w:val="single" w:color="000000" w:sz="4" w:space="0"/>
            </w:tcBorders>
            <w:shd w:val="clear" w:color="FFFFFF" w:fill="FFFFFF"/>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组</w:t>
            </w:r>
          </w:p>
        </w:tc>
        <w:tc>
          <w:tcPr>
            <w:tcW w:w="752" w:type="dxa"/>
            <w:tcBorders>
              <w:top w:val="single" w:color="000000" w:sz="4" w:space="0"/>
              <w:left w:val="single" w:color="000000" w:sz="8" w:space="0"/>
              <w:bottom w:val="single" w:color="auto" w:sz="4" w:space="0"/>
              <w:right w:val="single" w:color="000000" w:sz="4" w:space="0"/>
            </w:tcBorders>
            <w:shd w:val="clear" w:color="FFFFFF" w:fill="FFFFFF"/>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w:t>
            </w:r>
          </w:p>
        </w:tc>
        <w:tc>
          <w:tcPr>
            <w:tcW w:w="916" w:type="dxa"/>
            <w:gridSpan w:val="2"/>
            <w:tcBorders>
              <w:top w:val="single" w:color="000000" w:sz="4" w:space="0"/>
              <w:left w:val="single" w:color="000000" w:sz="8" w:space="0"/>
              <w:bottom w:val="single" w:color="auto" w:sz="4" w:space="0"/>
              <w:right w:val="single" w:color="000000" w:sz="4" w:space="0"/>
            </w:tcBorders>
            <w:shd w:val="clear" w:color="FFFFFF" w:fill="FFFFFF"/>
            <w:vAlign w:val="center"/>
          </w:tcPr>
          <w:p>
            <w:pPr>
              <w:keepNext w:val="0"/>
              <w:keepLines w:val="0"/>
              <w:widowControl/>
              <w:suppressLineNumbers w:val="0"/>
              <w:jc w:val="right"/>
              <w:textAlignment w:val="center"/>
            </w:pPr>
          </w:p>
        </w:tc>
        <w:tc>
          <w:tcPr>
            <w:tcW w:w="1116" w:type="dxa"/>
            <w:tcBorders>
              <w:top w:val="single" w:color="000000" w:sz="4" w:space="0"/>
              <w:left w:val="single" w:color="000000" w:sz="4" w:space="0"/>
              <w:bottom w:val="single" w:color="auto"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621" w:type="dxa"/>
            <w:tcBorders>
              <w:top w:val="single" w:color="000000" w:sz="4" w:space="0"/>
              <w:left w:val="single" w:color="000000" w:sz="4" w:space="0"/>
              <w:bottom w:val="single" w:color="auto"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2" w:hRule="atLeast"/>
        </w:trPr>
        <w:tc>
          <w:tcPr>
            <w:tcW w:w="564"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13</w:t>
            </w:r>
          </w:p>
        </w:tc>
        <w:tc>
          <w:tcPr>
            <w:tcW w:w="1416"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030807005001</w:t>
            </w:r>
          </w:p>
        </w:tc>
        <w:tc>
          <w:tcPr>
            <w:tcW w:w="951"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低压安全阀门</w:t>
            </w:r>
          </w:p>
        </w:tc>
        <w:tc>
          <w:tcPr>
            <w:tcW w:w="2095"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1.材质:PE</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2.规格、压力等级:外径25mm</w:t>
            </w:r>
          </w:p>
        </w:tc>
        <w:tc>
          <w:tcPr>
            <w:tcW w:w="429"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个</w:t>
            </w:r>
          </w:p>
        </w:tc>
        <w:tc>
          <w:tcPr>
            <w:tcW w:w="752"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w:t>
            </w:r>
          </w:p>
        </w:tc>
        <w:tc>
          <w:tcPr>
            <w:tcW w:w="916"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center"/>
            </w:pPr>
          </w:p>
        </w:tc>
        <w:tc>
          <w:tcPr>
            <w:tcW w:w="1116"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center"/>
            </w:pPr>
          </w:p>
        </w:tc>
        <w:tc>
          <w:tcPr>
            <w:tcW w:w="621" w:type="dxa"/>
            <w:tcBorders>
              <w:top w:val="single" w:color="auto" w:sz="4" w:space="0"/>
              <w:left w:val="single" w:color="auto" w:sz="4" w:space="0"/>
              <w:bottom w:val="single" w:color="auto" w:sz="4" w:space="0"/>
              <w:right w:val="single" w:color="auto" w:sz="4" w:space="0"/>
            </w:tcBorders>
            <w:shd w:val="clear" w:color="FFFFFF" w:fill="FFFFFF"/>
            <w:vAlign w:val="center"/>
          </w:tcPr>
          <w:p>
            <w:pPr>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1" w:hRule="atLeast"/>
        </w:trPr>
        <w:tc>
          <w:tcPr>
            <w:tcW w:w="7123"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single"/>
              </w:rPr>
            </w:pPr>
            <w:r>
              <w:rPr>
                <w:rFonts w:hint="eastAsia" w:ascii="宋体" w:hAnsi="宋体" w:eastAsia="宋体" w:cs="宋体"/>
                <w:i w:val="0"/>
                <w:iCs w:val="0"/>
                <w:color w:val="000000"/>
                <w:kern w:val="0"/>
                <w:sz w:val="20"/>
                <w:szCs w:val="20"/>
                <w:u w:val="none"/>
                <w:lang w:val="en-US" w:eastAsia="zh-CN" w:bidi="ar"/>
              </w:rPr>
              <w:t>本页小计</w:t>
            </w:r>
          </w:p>
        </w:tc>
        <w:tc>
          <w:tcPr>
            <w:tcW w:w="1116"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621" w:type="dxa"/>
            <w:tcBorders>
              <w:top w:val="single" w:color="auto" w:sz="4" w:space="0"/>
              <w:left w:val="single" w:color="auto" w:sz="4" w:space="0"/>
              <w:bottom w:val="single" w:color="auto" w:sz="4" w:space="0"/>
              <w:right w:val="single" w:color="auto" w:sz="4" w:space="0"/>
            </w:tcBorders>
            <w:shd w:val="clear" w:color="FFFFFF" w:fill="FFFFFF"/>
            <w:vAlign w:val="center"/>
          </w:tcPr>
          <w:p>
            <w:pPr>
              <w:jc w:val="right"/>
            </w:pPr>
          </w:p>
        </w:tc>
      </w:tr>
    </w:tbl>
    <w:p>
      <w:pPr>
        <w:pStyle w:val="46"/>
        <w:rPr>
          <w:rFonts w:ascii="宋体" w:hAnsi="宋体" w:cs="宋体"/>
          <w:b/>
          <w:bCs/>
          <w:szCs w:val="21"/>
        </w:rPr>
      </w:pPr>
    </w:p>
    <w:tbl>
      <w:tblPr>
        <w:tblStyle w:val="2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99"/>
        <w:gridCol w:w="1416"/>
        <w:gridCol w:w="1050"/>
        <w:gridCol w:w="2058"/>
        <w:gridCol w:w="187"/>
        <w:gridCol w:w="416"/>
        <w:gridCol w:w="737"/>
        <w:gridCol w:w="114"/>
        <w:gridCol w:w="680"/>
        <w:gridCol w:w="1116"/>
        <w:gridCol w:w="6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5000" w:type="pct"/>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828" w:type="pct"/>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工程名称：从化公司2024年太平厂硫酸铝加药间改造项目</w:t>
            </w:r>
          </w:p>
        </w:tc>
        <w:tc>
          <w:tcPr>
            <w:tcW w:w="802" w:type="pct"/>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1368" w:type="pct"/>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31" w:type="pct"/>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781"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580"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239" w:type="pct"/>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229"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407"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1430" w:type="pct"/>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31" w:type="pct"/>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81"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80"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39" w:type="pct"/>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29"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07"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5" w:type="pct"/>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616" w:type="pct"/>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378"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31" w:type="pct"/>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81"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80"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39" w:type="pct"/>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29"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07"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5" w:type="pct"/>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16" w:type="pct"/>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78"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33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031003005001</w:t>
            </w:r>
          </w:p>
        </w:tc>
        <w:tc>
          <w:tcPr>
            <w:tcW w:w="5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塑料阀门</w:t>
            </w:r>
          </w:p>
        </w:tc>
        <w:tc>
          <w:tcPr>
            <w:tcW w:w="1239"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塑料阀门 带活接阀门开关 DN40</w:t>
            </w:r>
          </w:p>
        </w:tc>
        <w:tc>
          <w:tcPr>
            <w:tcW w:w="22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3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61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78"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33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030804014001</w:t>
            </w:r>
          </w:p>
        </w:tc>
        <w:tc>
          <w:tcPr>
            <w:tcW w:w="5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低压塑料管件</w:t>
            </w:r>
          </w:p>
        </w:tc>
        <w:tc>
          <w:tcPr>
            <w:tcW w:w="1239"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1.材质:PVC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2.规格:DN40</w:t>
            </w:r>
          </w:p>
        </w:tc>
        <w:tc>
          <w:tcPr>
            <w:tcW w:w="22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43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61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78"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33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030801016001</w:t>
            </w:r>
          </w:p>
        </w:tc>
        <w:tc>
          <w:tcPr>
            <w:tcW w:w="5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低压塑料管</w:t>
            </w:r>
          </w:p>
        </w:tc>
        <w:tc>
          <w:tcPr>
            <w:tcW w:w="1239"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1.材质:PVC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2.规格:DN40</w:t>
            </w:r>
          </w:p>
        </w:tc>
        <w:tc>
          <w:tcPr>
            <w:tcW w:w="22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4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43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61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78"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33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030801016002</w:t>
            </w:r>
          </w:p>
        </w:tc>
        <w:tc>
          <w:tcPr>
            <w:tcW w:w="5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低压塑料管</w:t>
            </w:r>
          </w:p>
        </w:tc>
        <w:tc>
          <w:tcPr>
            <w:tcW w:w="1239"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1.材质:PVC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2.规格:DN20</w:t>
            </w:r>
          </w:p>
        </w:tc>
        <w:tc>
          <w:tcPr>
            <w:tcW w:w="22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4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43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61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78"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33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030404017001</w:t>
            </w:r>
          </w:p>
        </w:tc>
        <w:tc>
          <w:tcPr>
            <w:tcW w:w="5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配电箱</w:t>
            </w:r>
          </w:p>
        </w:tc>
        <w:tc>
          <w:tcPr>
            <w:tcW w:w="1239"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1.名称:不锈钢电箱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2.规格:600*600*350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3.安装方式:悬挂式</w:t>
            </w:r>
          </w:p>
        </w:tc>
        <w:tc>
          <w:tcPr>
            <w:tcW w:w="22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3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61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78"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33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030406008001</w:t>
            </w:r>
          </w:p>
        </w:tc>
        <w:tc>
          <w:tcPr>
            <w:tcW w:w="5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变频器安装</w:t>
            </w:r>
          </w:p>
        </w:tc>
        <w:tc>
          <w:tcPr>
            <w:tcW w:w="1239"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1.名称:变频器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2.容量(kW):5KW</w:t>
            </w:r>
          </w:p>
        </w:tc>
        <w:tc>
          <w:tcPr>
            <w:tcW w:w="22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3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61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78"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33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030408001001</w:t>
            </w:r>
          </w:p>
        </w:tc>
        <w:tc>
          <w:tcPr>
            <w:tcW w:w="5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w:t>
            </w:r>
          </w:p>
        </w:tc>
        <w:tc>
          <w:tcPr>
            <w:tcW w:w="1239"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1.名称:电力电缆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2.型号:RVVP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3.规格:5*6</w:t>
            </w:r>
          </w:p>
        </w:tc>
        <w:tc>
          <w:tcPr>
            <w:tcW w:w="22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4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43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61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78"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33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080902006001</w:t>
            </w:r>
          </w:p>
        </w:tc>
        <w:tc>
          <w:tcPr>
            <w:tcW w:w="5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液位计</w:t>
            </w:r>
          </w:p>
        </w:tc>
        <w:tc>
          <w:tcPr>
            <w:tcW w:w="1239"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1.名称:液位计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2.规格:2.5m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3.类型:玻璃管直读液位计</w:t>
            </w:r>
          </w:p>
        </w:tc>
        <w:tc>
          <w:tcPr>
            <w:tcW w:w="22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3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61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78"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005" w:type="pct"/>
            <w:gridSpan w:val="9"/>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61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78"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005" w:type="pct"/>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616"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78"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pStyle w:val="46"/>
        <w:rPr>
          <w:rFonts w:ascii="宋体" w:hAnsi="宋体" w:cs="宋体"/>
          <w:b/>
          <w:bCs/>
          <w:szCs w:val="21"/>
        </w:rPr>
      </w:pPr>
    </w:p>
    <w:p>
      <w:pPr>
        <w:pStyle w:val="46"/>
        <w:rPr>
          <w:rFonts w:ascii="宋体" w:hAnsi="宋体" w:cs="宋体"/>
          <w:b/>
          <w:bCs/>
          <w:szCs w:val="21"/>
        </w:rPr>
      </w:pPr>
    </w:p>
    <w:tbl>
      <w:tblPr>
        <w:tblStyle w:val="23"/>
        <w:tblW w:w="87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42"/>
        <w:gridCol w:w="1416"/>
        <w:gridCol w:w="1404"/>
        <w:gridCol w:w="1084"/>
        <w:gridCol w:w="556"/>
        <w:gridCol w:w="170"/>
        <w:gridCol w:w="1005"/>
        <w:gridCol w:w="467"/>
        <w:gridCol w:w="296"/>
        <w:gridCol w:w="774"/>
        <w:gridCol w:w="10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 w:hRule="atLeast"/>
        </w:trPr>
        <w:tc>
          <w:tcPr>
            <w:tcW w:w="872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002"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工程名称：从化公司2024年太平厂硫酸铝加药间改造项目</w:t>
            </w:r>
          </w:p>
        </w:tc>
        <w:tc>
          <w:tcPr>
            <w:tcW w:w="1642"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076"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 w:hRule="atLeast"/>
        </w:trPr>
        <w:tc>
          <w:tcPr>
            <w:tcW w:w="54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404"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084"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726"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00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763"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774"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1006"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54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LSSGCSF00001</w:t>
            </w:r>
          </w:p>
        </w:tc>
        <w:tc>
          <w:tcPr>
            <w:tcW w:w="14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绿色施工安全防护措施费</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分部分项人工费+分部分项机具费</w:t>
            </w:r>
          </w:p>
        </w:tc>
        <w:tc>
          <w:tcPr>
            <w:tcW w:w="72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35.77</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5541.26</w:t>
            </w:r>
          </w:p>
        </w:tc>
        <w:tc>
          <w:tcPr>
            <w:tcW w:w="7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kern w:val="0"/>
                <w:sz w:val="20"/>
                <w:szCs w:val="20"/>
                <w:u w:val="none"/>
                <w:lang w:val="en-US" w:eastAsia="zh-CN" w:bidi="ar"/>
              </w:rPr>
            </w:pPr>
          </w:p>
        </w:tc>
        <w:tc>
          <w:tcPr>
            <w:tcW w:w="7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以分部分项的人工费与施工机具费之和为计算基础，费率35.77%</w:t>
            </w:r>
          </w:p>
        </w:tc>
      </w:tr>
    </w:tbl>
    <w:p>
      <w:pPr>
        <w:pStyle w:val="46"/>
        <w:rPr>
          <w:rFonts w:ascii="宋体" w:hAnsi="宋体" w:cs="宋体"/>
          <w:b/>
          <w:bCs/>
          <w:szCs w:val="21"/>
        </w:rPr>
      </w:pPr>
    </w:p>
    <w:p>
      <w:pPr>
        <w:pStyle w:val="46"/>
        <w:rPr>
          <w:rFonts w:ascii="宋体" w:hAnsi="宋体" w:cs="宋体"/>
          <w:b/>
          <w:bCs/>
          <w:szCs w:val="21"/>
        </w:rPr>
      </w:pPr>
    </w:p>
    <w:tbl>
      <w:tblPr>
        <w:tblStyle w:val="23"/>
        <w:tblW w:w="86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9"/>
        <w:gridCol w:w="2004"/>
        <w:gridCol w:w="2216"/>
        <w:gridCol w:w="161"/>
        <w:gridCol w:w="1332"/>
        <w:gridCol w:w="13"/>
        <w:gridCol w:w="833"/>
        <w:gridCol w:w="13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2" w:hRule="atLeast"/>
        </w:trPr>
        <w:tc>
          <w:tcPr>
            <w:tcW w:w="8640" w:type="dxa"/>
            <w:gridSpan w:val="8"/>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规费、税金项目清单与计价表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8" w:hRule="atLeast"/>
        </w:trPr>
        <w:tc>
          <w:tcPr>
            <w:tcW w:w="4979"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工程名称：从化公司2024年太平厂硫酸铝加药间改造项目</w:t>
            </w:r>
          </w:p>
        </w:tc>
        <w:tc>
          <w:tcPr>
            <w:tcW w:w="1506" w:type="dxa"/>
            <w:gridSpan w:val="3"/>
            <w:tcBorders>
              <w:top w:val="nil"/>
              <w:left w:val="nil"/>
              <w:bottom w:val="nil"/>
              <w:right w:val="nil"/>
            </w:tcBorders>
            <w:shd w:val="clear" w:color="FFFFFF"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15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759"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004"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377"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1332"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计算基数</w:t>
            </w:r>
          </w:p>
        </w:tc>
        <w:tc>
          <w:tcPr>
            <w:tcW w:w="846"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322"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8" w:hRule="atLeast"/>
        </w:trPr>
        <w:tc>
          <w:tcPr>
            <w:tcW w:w="75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0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增值税销项税额</w:t>
            </w:r>
          </w:p>
        </w:tc>
        <w:tc>
          <w:tcPr>
            <w:tcW w:w="237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分部分项合计+措施合计+其他项目</w:t>
            </w:r>
          </w:p>
        </w:tc>
        <w:tc>
          <w:tcPr>
            <w:tcW w:w="13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84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32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1" w:hRule="atLeast"/>
        </w:trPr>
        <w:tc>
          <w:tcPr>
            <w:tcW w:w="7318" w:type="dxa"/>
            <w:gridSpan w:val="7"/>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    计</w:t>
            </w:r>
          </w:p>
        </w:tc>
        <w:tc>
          <w:tcPr>
            <w:tcW w:w="1322"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bl>
    <w:p>
      <w:pPr>
        <w:pStyle w:val="46"/>
        <w:rPr>
          <w:rFonts w:ascii="宋体" w:hAnsi="宋体" w:cs="宋体"/>
          <w:b/>
          <w:bCs/>
          <w:szCs w:val="21"/>
        </w:rPr>
      </w:pPr>
    </w:p>
    <w:p>
      <w:pPr>
        <w:pStyle w:val="46"/>
        <w:rPr>
          <w:rFonts w:ascii="宋体" w:hAnsi="宋体" w:cs="宋体"/>
          <w:b/>
          <w:bCs/>
          <w:szCs w:val="21"/>
        </w:rPr>
      </w:pPr>
    </w:p>
    <w:p>
      <w:pPr>
        <w:pStyle w:val="46"/>
        <w:rPr>
          <w:rFonts w:ascii="宋体" w:hAnsi="宋体" w:cs="宋体"/>
          <w:b/>
          <w:bCs/>
          <w:szCs w:val="21"/>
        </w:rPr>
      </w:pPr>
    </w:p>
    <w:p>
      <w:pPr>
        <w:pStyle w:val="46"/>
        <w:rPr>
          <w:rFonts w:ascii="宋体" w:hAnsi="宋体" w:cs="宋体"/>
          <w:b/>
          <w:bCs/>
          <w:szCs w:val="21"/>
        </w:rPr>
      </w:pPr>
    </w:p>
    <w:p>
      <w:pPr>
        <w:pStyle w:val="46"/>
        <w:rPr>
          <w:rFonts w:ascii="宋体" w:hAnsi="宋体" w:cs="宋体"/>
          <w:b/>
          <w:bCs/>
          <w:szCs w:val="21"/>
        </w:rPr>
      </w:pPr>
    </w:p>
    <w:p>
      <w:pPr>
        <w:pStyle w:val="46"/>
        <w:rPr>
          <w:rFonts w:ascii="宋体" w:hAnsi="宋体" w:cs="宋体"/>
          <w:b/>
          <w:bCs/>
          <w:szCs w:val="21"/>
        </w:rPr>
      </w:pPr>
    </w:p>
    <w:p>
      <w:pPr>
        <w:pStyle w:val="46"/>
        <w:rPr>
          <w:rFonts w:ascii="宋体" w:hAnsi="宋体" w:cs="宋体"/>
          <w:b/>
          <w:bCs/>
          <w:szCs w:val="21"/>
        </w:rPr>
      </w:pPr>
    </w:p>
    <w:p>
      <w:pPr>
        <w:pStyle w:val="46"/>
        <w:rPr>
          <w:rFonts w:ascii="宋体" w:hAnsi="宋体" w:cs="宋体"/>
          <w:b/>
          <w:bCs/>
          <w:szCs w:val="21"/>
        </w:rPr>
      </w:pPr>
    </w:p>
    <w:p>
      <w:pPr>
        <w:pStyle w:val="46"/>
        <w:rPr>
          <w:rFonts w:ascii="宋体" w:hAnsi="宋体" w:cs="宋体"/>
          <w:b/>
          <w:bCs/>
          <w:szCs w:val="21"/>
        </w:rPr>
      </w:pPr>
    </w:p>
    <w:p>
      <w:pPr>
        <w:pStyle w:val="46"/>
        <w:rPr>
          <w:rFonts w:ascii="宋体" w:hAnsi="宋体" w:cs="宋体"/>
          <w:b/>
          <w:bCs/>
          <w:szCs w:val="21"/>
        </w:rPr>
      </w:pPr>
    </w:p>
    <w:p>
      <w:pPr>
        <w:pStyle w:val="46"/>
        <w:rPr>
          <w:rFonts w:ascii="宋体" w:hAnsi="宋体" w:cs="宋体"/>
          <w:b/>
          <w:bCs/>
          <w:szCs w:val="21"/>
        </w:rPr>
      </w:pPr>
    </w:p>
    <w:p>
      <w:pPr>
        <w:pStyle w:val="46"/>
        <w:rPr>
          <w:rFonts w:ascii="宋体" w:hAnsi="宋体" w:cs="宋体"/>
          <w:b/>
          <w:bCs/>
          <w:szCs w:val="21"/>
        </w:rPr>
      </w:pPr>
    </w:p>
    <w:p>
      <w:pPr>
        <w:pStyle w:val="46"/>
        <w:rPr>
          <w:rFonts w:ascii="宋体" w:hAnsi="宋体" w:cs="宋体"/>
          <w:b/>
          <w:bCs/>
          <w:szCs w:val="21"/>
        </w:rPr>
      </w:pPr>
    </w:p>
    <w:p>
      <w:pPr>
        <w:pStyle w:val="46"/>
        <w:rPr>
          <w:rFonts w:ascii="宋体" w:hAnsi="宋体" w:cs="宋体"/>
          <w:b/>
          <w:bCs/>
          <w:szCs w:val="21"/>
        </w:rPr>
      </w:pPr>
    </w:p>
    <w:p>
      <w:pPr>
        <w:pStyle w:val="46"/>
        <w:rPr>
          <w:rFonts w:ascii="宋体" w:hAnsi="宋体" w:cs="宋体"/>
          <w:b/>
          <w:bCs/>
          <w:szCs w:val="21"/>
        </w:rPr>
      </w:pPr>
    </w:p>
    <w:p>
      <w:pPr>
        <w:pStyle w:val="46"/>
        <w:rPr>
          <w:rFonts w:ascii="宋体" w:hAnsi="宋体" w:cs="宋体"/>
          <w:b/>
          <w:bCs/>
          <w:szCs w:val="21"/>
        </w:rPr>
      </w:pPr>
    </w:p>
    <w:p>
      <w:pPr>
        <w:pStyle w:val="46"/>
        <w:rPr>
          <w:rFonts w:ascii="宋体" w:hAnsi="宋体" w:cs="宋体"/>
          <w:b/>
          <w:bCs/>
          <w:szCs w:val="21"/>
        </w:rPr>
      </w:pPr>
    </w:p>
    <w:p>
      <w:pPr>
        <w:pStyle w:val="46"/>
        <w:rPr>
          <w:rFonts w:ascii="宋体" w:hAnsi="宋体" w:cs="宋体"/>
          <w:b/>
          <w:bCs/>
          <w:szCs w:val="21"/>
        </w:rPr>
      </w:pPr>
    </w:p>
    <w:p>
      <w:pPr>
        <w:pStyle w:val="46"/>
        <w:rPr>
          <w:rFonts w:ascii="宋体" w:hAnsi="宋体" w:cs="宋体"/>
          <w:b/>
          <w:bCs/>
          <w:szCs w:val="21"/>
        </w:rPr>
      </w:pPr>
    </w:p>
    <w:p>
      <w:pPr>
        <w:pStyle w:val="46"/>
        <w:rPr>
          <w:rFonts w:ascii="宋体" w:hAnsi="宋体" w:cs="宋体"/>
          <w:b/>
          <w:bCs/>
          <w:szCs w:val="21"/>
        </w:rPr>
      </w:pPr>
    </w:p>
    <w:p>
      <w:pPr>
        <w:pStyle w:val="46"/>
        <w:rPr>
          <w:rFonts w:ascii="宋体" w:hAnsi="宋体" w:cs="宋体"/>
          <w:b/>
          <w:bCs/>
          <w:szCs w:val="21"/>
        </w:rPr>
      </w:pPr>
    </w:p>
    <w:p>
      <w:pPr>
        <w:pStyle w:val="46"/>
        <w:rPr>
          <w:rFonts w:ascii="宋体" w:hAnsi="宋体" w:cs="宋体"/>
          <w:b/>
          <w:bCs/>
          <w:szCs w:val="21"/>
        </w:rPr>
      </w:pPr>
    </w:p>
    <w:p>
      <w:pPr>
        <w:pStyle w:val="46"/>
        <w:rPr>
          <w:rFonts w:ascii="宋体" w:hAnsi="宋体" w:cs="宋体"/>
          <w:b/>
          <w:bCs/>
          <w:szCs w:val="21"/>
        </w:rPr>
      </w:pPr>
    </w:p>
    <w:p>
      <w:pPr>
        <w:pStyle w:val="46"/>
        <w:rPr>
          <w:rFonts w:ascii="宋体" w:hAnsi="宋体" w:cs="宋体"/>
          <w:b/>
          <w:bCs/>
          <w:szCs w:val="21"/>
        </w:rPr>
      </w:pPr>
    </w:p>
    <w:p>
      <w:pPr>
        <w:pStyle w:val="46"/>
        <w:rPr>
          <w:rFonts w:ascii="宋体" w:hAnsi="宋体" w:cs="宋体"/>
          <w:b/>
          <w:bCs/>
          <w:szCs w:val="21"/>
        </w:rPr>
      </w:pPr>
    </w:p>
    <w:p>
      <w:pPr>
        <w:pStyle w:val="46"/>
        <w:rPr>
          <w:rFonts w:ascii="宋体" w:hAnsi="宋体" w:cs="宋体"/>
          <w:b/>
          <w:bCs/>
          <w:szCs w:val="21"/>
        </w:rPr>
      </w:pPr>
    </w:p>
    <w:p>
      <w:pPr>
        <w:pStyle w:val="46"/>
        <w:rPr>
          <w:rFonts w:ascii="宋体" w:hAnsi="宋体" w:cs="宋体"/>
          <w:b/>
          <w:bCs/>
          <w:szCs w:val="21"/>
        </w:rPr>
      </w:pPr>
    </w:p>
    <w:p>
      <w:pPr>
        <w:spacing w:line="360" w:lineRule="auto"/>
        <w:rPr>
          <w:rFonts w:hint="eastAsia" w:ascii="宋体" w:hAnsi="宋体" w:cs="宋体"/>
          <w:b/>
          <w:bCs/>
          <w:szCs w:val="21"/>
          <w:lang w:val="en-US" w:eastAsia="zh-CN"/>
        </w:rPr>
      </w:pPr>
      <w:r>
        <w:rPr>
          <w:rFonts w:hint="eastAsia" w:ascii="宋体" w:hAnsi="宋体" w:cs="宋体"/>
          <w:b/>
          <w:bCs/>
          <w:szCs w:val="21"/>
        </w:rPr>
        <w:t>附件</w:t>
      </w:r>
      <w:r>
        <w:rPr>
          <w:rFonts w:hint="eastAsia" w:ascii="宋体" w:hAnsi="宋体" w:cs="宋体"/>
          <w:b/>
          <w:bCs/>
          <w:szCs w:val="21"/>
          <w:lang w:val="en-US" w:eastAsia="zh-CN"/>
        </w:rPr>
        <w:t>5</w:t>
      </w:r>
      <w:r>
        <w:rPr>
          <w:rFonts w:hint="eastAsia" w:ascii="宋体" w:hAnsi="宋体" w:cs="宋体"/>
          <w:b/>
          <w:bCs/>
          <w:szCs w:val="21"/>
        </w:rPr>
        <w:t>：</w:t>
      </w:r>
      <w:r>
        <w:rPr>
          <w:rFonts w:hint="eastAsia" w:ascii="宋体" w:hAnsi="宋体" w:cs="宋体"/>
          <w:b/>
          <w:bCs/>
          <w:szCs w:val="21"/>
          <w:lang w:val="en-US" w:eastAsia="zh-CN"/>
        </w:rPr>
        <w:t>营运项目承包单位日常履约考评参照表（安全）</w:t>
      </w:r>
    </w:p>
    <w:tbl>
      <w:tblPr>
        <w:tblStyle w:val="23"/>
        <w:tblpPr w:leftFromText="180" w:rightFromText="180" w:vertAnchor="text" w:horzAnchor="page" w:tblpX="1575" w:tblpY="1193"/>
        <w:tblOverlap w:val="never"/>
        <w:tblW w:w="0" w:type="auto"/>
        <w:jc w:val="center"/>
        <w:tblLayout w:type="autofit"/>
        <w:tblCellMar>
          <w:top w:w="0" w:type="dxa"/>
          <w:left w:w="0" w:type="dxa"/>
          <w:bottom w:w="0" w:type="dxa"/>
          <w:right w:w="0" w:type="dxa"/>
        </w:tblCellMar>
      </w:tblPr>
      <w:tblGrid>
        <w:gridCol w:w="344"/>
        <w:gridCol w:w="876"/>
        <w:gridCol w:w="707"/>
        <w:gridCol w:w="2322"/>
        <w:gridCol w:w="1142"/>
        <w:gridCol w:w="1152"/>
        <w:gridCol w:w="1152"/>
        <w:gridCol w:w="1173"/>
      </w:tblGrid>
      <w:tr>
        <w:tblPrEx>
          <w:tblCellMar>
            <w:top w:w="0" w:type="dxa"/>
            <w:left w:w="0" w:type="dxa"/>
            <w:bottom w:w="0" w:type="dxa"/>
            <w:right w:w="0" w:type="dxa"/>
          </w:tblCellMar>
        </w:tblPrEx>
        <w:trPr>
          <w:trHeight w:val="320" w:hRule="atLeast"/>
          <w:jc w:val="center"/>
        </w:trPr>
        <w:tc>
          <w:tcPr>
            <w:tcW w:w="0" w:type="auto"/>
            <w:gridSpan w:val="8"/>
            <w:tcBorders>
              <w:top w:val="nil"/>
              <w:left w:val="nil"/>
              <w:bottom w:val="nil"/>
              <w:right w:val="nil"/>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auto"/>
                <w:kern w:val="2"/>
                <w:sz w:val="16"/>
                <w:szCs w:val="16"/>
                <w:highlight w:val="none"/>
              </w:rPr>
            </w:pPr>
            <w:r>
              <w:rPr>
                <w:rFonts w:hint="eastAsia" w:ascii="宋体" w:hAnsi="宋体" w:eastAsia="宋体" w:cs="宋体"/>
                <w:b/>
                <w:color w:val="auto"/>
                <w:kern w:val="0"/>
                <w:sz w:val="16"/>
                <w:szCs w:val="16"/>
                <w:highlight w:val="none"/>
                <w:lang w:bidi="ar"/>
              </w:rPr>
              <w:t>营运项目承包单位日常履约考评参照表（安全）</w:t>
            </w:r>
          </w:p>
        </w:tc>
      </w:tr>
      <w:tr>
        <w:tblPrEx>
          <w:tblCellMar>
            <w:top w:w="0" w:type="dxa"/>
            <w:left w:w="0" w:type="dxa"/>
            <w:bottom w:w="0" w:type="dxa"/>
            <w:right w:w="0" w:type="dxa"/>
          </w:tblCellMar>
        </w:tblPrEx>
        <w:trPr>
          <w:trHeight w:val="1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考评项目</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考评分项</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考评内容</w:t>
            </w:r>
          </w:p>
        </w:tc>
        <w:tc>
          <w:tcPr>
            <w:tcW w:w="0" w:type="auto"/>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r>
      <w:tr>
        <w:tblPrEx>
          <w:tblCellMar>
            <w:top w:w="0" w:type="dxa"/>
            <w:left w:w="0" w:type="dxa"/>
            <w:bottom w:w="0" w:type="dxa"/>
            <w:right w:w="0" w:type="dxa"/>
          </w:tblCellMar>
        </w:tblPrEx>
        <w:trPr>
          <w:trHeight w:val="4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合同金额＜5万</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5万≤合同金额＜30万</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30万≤合同金额＜100万</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合同金额≥100万</w:t>
            </w:r>
          </w:p>
        </w:tc>
      </w:tr>
      <w:tr>
        <w:tblPrEx>
          <w:tblCellMar>
            <w:top w:w="0" w:type="dxa"/>
            <w:left w:w="0" w:type="dxa"/>
            <w:bottom w:w="0" w:type="dxa"/>
            <w:right w:w="0"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1</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安全事故</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事故类型</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发生发生3人及以上重伤或发生1人及以上死亡或直接经济损失达200万元以上的安全生产事故</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按“四不放过”调查后处理</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按“四不放过”调查后处理</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按“四不放过”调查后处理</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按“四不放过”调查后处理</w:t>
            </w:r>
          </w:p>
        </w:tc>
      </w:tr>
      <w:tr>
        <w:tblPrEx>
          <w:tblCellMar>
            <w:top w:w="0" w:type="dxa"/>
            <w:left w:w="0" w:type="dxa"/>
            <w:bottom w:w="0" w:type="dxa"/>
            <w:right w:w="0" w:type="dxa"/>
          </w:tblCellMar>
        </w:tblPrEx>
        <w:trPr>
          <w:trHeight w:val="9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2</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发生重伤2人安全事故的</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扣合同金额的30%～50%；</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或1万～2万</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扣合同金额的20%～30%；</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或2万～4万</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扣合同金额的10%～20%；</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或4万～8万</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扣合同金额的5%～10%;</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或8万～12万</w:t>
            </w:r>
          </w:p>
        </w:tc>
      </w:tr>
      <w:tr>
        <w:tblPrEx>
          <w:tblCellMar>
            <w:top w:w="0" w:type="dxa"/>
            <w:left w:w="0" w:type="dxa"/>
            <w:bottom w:w="0" w:type="dxa"/>
            <w:right w:w="0" w:type="dxa"/>
          </w:tblCellMar>
        </w:tblPrEx>
        <w:trPr>
          <w:trHeight w:val="8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3</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发生重伤1人安全事故的</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扣合同金额的20%～30%;</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或5000～1万</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扣合同金额的10%～20%；</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或1万～2万</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扣合同金额的5%～10%；</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或2万～4万</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扣合同金额的3%～5%；</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或4万～8万</w:t>
            </w:r>
          </w:p>
        </w:tc>
      </w:tr>
      <w:tr>
        <w:tblPrEx>
          <w:tblCellMar>
            <w:top w:w="0" w:type="dxa"/>
            <w:left w:w="0" w:type="dxa"/>
            <w:bottom w:w="0" w:type="dxa"/>
            <w:right w:w="0" w:type="dxa"/>
          </w:tblCellMar>
        </w:tblPrEx>
        <w:trPr>
          <w:trHeight w:val="6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4</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发生停产、影响环境、破坏公共设施、造成不良影响等事故的</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扣合同金额的10%～20%；</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或2000～3000</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扣合同金额的5%～10%；</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或5000～1万</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扣合同金额的3%～5%；</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或1万～2万</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扣合同金额的1%～2%；</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或2万～4万</w:t>
            </w:r>
          </w:p>
        </w:tc>
      </w:tr>
      <w:tr>
        <w:tblPrEx>
          <w:tblCellMar>
            <w:top w:w="0" w:type="dxa"/>
            <w:left w:w="0" w:type="dxa"/>
            <w:bottom w:w="0" w:type="dxa"/>
            <w:right w:w="0" w:type="dxa"/>
          </w:tblCellMar>
        </w:tblPrEx>
        <w:trPr>
          <w:trHeight w:val="14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5</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事故处理</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1.发生事故或事件隐瞒不报的</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2.未在1小时内向业主单位上报事故的</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3.拒绝、不配合事故事件调查的或事故事件调查提供虚假信息</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4.未按规定和程序组织事故调查和事故处理的</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5.未及时处理导致事故扩大的</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6.未落实“四不放过”的</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扣合同金额的30%～50%；</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或1万～2万</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扣合同金额的20%～30%；</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或2万～4万</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扣合同金额的10%～20%；</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或4万～8万</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扣合同金额的5%～10%;</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或8万～12万</w:t>
            </w:r>
          </w:p>
        </w:tc>
      </w:tr>
      <w:tr>
        <w:tblPrEx>
          <w:tblCellMar>
            <w:top w:w="0" w:type="dxa"/>
            <w:left w:w="0" w:type="dxa"/>
            <w:bottom w:w="0" w:type="dxa"/>
            <w:right w:w="0" w:type="dxa"/>
          </w:tblCellMar>
        </w:tblPrEx>
        <w:trPr>
          <w:trHeight w:val="138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6</w:t>
            </w:r>
          </w:p>
        </w:tc>
        <w:tc>
          <w:tcPr>
            <w:tcW w:w="0" w:type="auto"/>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首次备案施工单位须提供的资料</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一般资料</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1.施工人员签名的安全交底表（交底内容由分公司编写），被交底人员应与人员花名册一致</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2.施工单位对施工人员的三级安全教育材料</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3.特殊时期需要增加的资料（如新冠疫情期间，需要增加的人员健康码和行程码资料）</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缺资料扣合同金额的5%或500；</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资料有问题扣合同金额的3%或300</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缺资料扣合同金额的2%或2000；</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资料有问题扣合同金额的1%或1000</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缺资料扣合同金额的1%或4500；</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资料有问题扣合同金额的0.4%或2000</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缺资料扣合同金额的0.4%或8000；</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资料有问题扣合同金额的0.2%或4000</w:t>
            </w:r>
          </w:p>
        </w:tc>
      </w:tr>
      <w:tr>
        <w:tblPrEx>
          <w:tblCellMar>
            <w:top w:w="0" w:type="dxa"/>
            <w:left w:w="0" w:type="dxa"/>
            <w:bottom w:w="0" w:type="dxa"/>
            <w:right w:w="0" w:type="dxa"/>
          </w:tblCellMar>
        </w:tblPrEx>
        <w:trPr>
          <w:trHeight w:val="15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7</w:t>
            </w:r>
          </w:p>
        </w:tc>
        <w:tc>
          <w:tcPr>
            <w:tcW w:w="0" w:type="auto"/>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施工方案</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4.施工方案，应满足合同要求，内容至少包括：</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 xml:space="preserve">  施工点介绍</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 xml:space="preserve">  施工内容（含作业流程、风险分析、施工工艺等）</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 xml:space="preserve">  施工设备和材料（必要时含构件测试手段等）</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 xml:space="preserve">  安全措施（根据工程特点、分公司的风险评估和施工单位的施工工艺制定）</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 xml:space="preserve">  正常施工安全物资（主要是安全防护设备、劳保用品）</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缺施工方案扣合同金额的6%或700；</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资料有问题扣合同金额的3%或300</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缺施工方案扣合同金额的3%或3500；</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资料有问题扣合同金额的1%或1000</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缺施工方案扣合同金额的1.5%或5000；</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资料有问题扣合同金额的0.5%或2500</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缺施工方案扣合同金额的0.5%或1万；</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资料有问题扣合同金额的0.3%或5000</w:t>
            </w:r>
          </w:p>
        </w:tc>
      </w:tr>
      <w:tr>
        <w:tblPrEx>
          <w:tblCellMar>
            <w:top w:w="0" w:type="dxa"/>
            <w:left w:w="0" w:type="dxa"/>
            <w:bottom w:w="0" w:type="dxa"/>
            <w:right w:w="0" w:type="dxa"/>
          </w:tblCellMar>
        </w:tblPrEx>
        <w:trPr>
          <w:trHeight w:val="21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8</w:t>
            </w:r>
          </w:p>
        </w:tc>
        <w:tc>
          <w:tcPr>
            <w:tcW w:w="0" w:type="auto"/>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应急预案</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5.应急预案，内容至少包括：</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 xml:space="preserve">  现场情况介绍</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 xml:space="preserve">  风险评估</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 xml:space="preserve">  应急架构（包括应急主管人员和安全员，以及各应急小组，落实到人和联系方式）</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 xml:space="preserve">  应急流程</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 xml:space="preserve">  各种风险情况下的应急措施（根据现场情况、分公司的风险评估制定）</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 xml:space="preserve">  应急物资清单</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 xml:space="preserve">  外单位救援力量及联系方式等</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缺应急预案扣合同金额的6%或700；</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资料有问题扣合同金额的3%或300</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缺应急预案扣合同金额的3%或3500；</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资料有问题扣合同金额的1%或1000</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缺应急预案扣合同金额的1.5%或5000；</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资料有问题扣合同金额的0.5%或2500</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缺应急预案扣合同金额的0.5%或1万；</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资料有问题扣合同金额的0.3%或5000</w:t>
            </w:r>
          </w:p>
        </w:tc>
      </w:tr>
      <w:tr>
        <w:tblPrEx>
          <w:tblCellMar>
            <w:top w:w="0" w:type="dxa"/>
            <w:left w:w="0" w:type="dxa"/>
            <w:bottom w:w="0" w:type="dxa"/>
            <w:right w:w="0" w:type="dxa"/>
          </w:tblCellMar>
        </w:tblPrEx>
        <w:trPr>
          <w:trHeight w:val="154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9</w:t>
            </w:r>
          </w:p>
        </w:tc>
        <w:tc>
          <w:tcPr>
            <w:tcW w:w="0" w:type="auto"/>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安全架构</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6.安全架构和相应安全责任制（落实到人和联系方式），可编写入施工方案内，架构人员主要包括：</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 xml:space="preserve">  安全责任人</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 xml:space="preserve">  施工负责人（可与安全责任人为同一个人）</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 xml:space="preserve">  安全员</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 xml:space="preserve">  设备、物资管理人员</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 xml:space="preserve">  关键岗位人员、特种作业人员</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缺安全架构扣合同金额的10%或2000；</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缺少任何一类人员及其职责的扣合同金额的6%或700</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缺安全架构扣合同金额的5%或5000；</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缺少任何一类人员及其职责的扣合同金额的2%或2000</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缺安全架构扣合同金额的2%或1万；</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缺少任何一类人员及其职责的扣合同金额的1%或5000</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缺安全架构扣合同金额的1%或2万；</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缺少任何一类人员及其职责的扣合同金额的0.5%或1万</w:t>
            </w:r>
          </w:p>
        </w:tc>
      </w:tr>
      <w:tr>
        <w:tblPrEx>
          <w:tblCellMar>
            <w:top w:w="0" w:type="dxa"/>
            <w:left w:w="0" w:type="dxa"/>
            <w:bottom w:w="0" w:type="dxa"/>
            <w:right w:w="0" w:type="dxa"/>
          </w:tblCellMar>
        </w:tblPrEx>
        <w:trPr>
          <w:trHeight w:val="29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10</w:t>
            </w:r>
          </w:p>
        </w:tc>
        <w:tc>
          <w:tcPr>
            <w:tcW w:w="0" w:type="auto"/>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人员资质</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7.施工人员花名册，人员应包含：</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 xml:space="preserve">  施工负责人（需要施工管理人员资格证书）</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 xml:space="preserve">  安全员（涉及动火、临时用电、有限空间、高空、抽堵盲板、吊装、动土、断路、设备检修等9大危险作业的，安全员需要有安全员证）</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 xml:space="preserve">  特种作业人员（附证件号，同时要复印特种作业证，特种作业人数应满足合同要求）</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 xml:space="preserve">  一般施工人员</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 xml:space="preserve">  可能需要进入厂区的其他人员（如监理人员、资料员等）</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注：如作业涉及危险作业，作业人员须有作业人员岗前职业病体检和筛选</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缺花名册扣合同金额的5%或500；</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缺特种作业人员或特种作业人员不满足合同要求，扣合同金额的5%或500；</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其他人员或资料有缺漏扣合同金额的3%或300</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缺花名册扣合同金额的2%或2000；</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缺特种作业人员或特种作业人员不满足合同要求，扣合同金额的2%或2000；</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其他人员或资料有缺漏扣合同金额的1%或1000</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缺花名册扣合同金额的1%或4500；</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缺特种作业人员或特种作业人员不满足合同要求，扣合同金额的1%或4500；</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其他人员或资料有缺漏扣合同金额的0.4%或2000</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缺花名册扣合同金额的0.4%或8000；</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缺特种作业人员或特种作业人员不满足合同要求，扣合同金额的0.4%或8000；</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其他人员或资料有缺漏扣合同金额的0.2%或4000</w:t>
            </w:r>
          </w:p>
        </w:tc>
      </w:tr>
      <w:tr>
        <w:tblPrEx>
          <w:tblCellMar>
            <w:top w:w="0" w:type="dxa"/>
            <w:left w:w="0" w:type="dxa"/>
            <w:bottom w:w="0" w:type="dxa"/>
            <w:right w:w="0" w:type="dxa"/>
          </w:tblCellMar>
        </w:tblPrEx>
        <w:trPr>
          <w:trHeight w:val="124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11</w:t>
            </w:r>
          </w:p>
        </w:tc>
        <w:tc>
          <w:tcPr>
            <w:tcW w:w="0" w:type="auto"/>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施工现场管理</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现场面貌</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1.施工现场未开展有效围蔽</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2.无七牌一图或有缺漏（七牌：工程概况牌：管理人员名单及监督电话牌、现场事故应急救援预案公示牌、安全生产牌、文明施工牌、消防保卫牌、环境保护牌；一图：施工现场平面图）</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3.现场无危险源公示、告知及相应警示</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4.材料堆放存在重大隐患</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扣合同金额的6%或700</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扣合同金额的3%或3500</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扣合同金额的1.5%或5000</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扣合同金额的0.5%或1万</w:t>
            </w:r>
          </w:p>
        </w:tc>
      </w:tr>
      <w:tr>
        <w:tblPrEx>
          <w:tblCellMar>
            <w:top w:w="0" w:type="dxa"/>
            <w:left w:w="0" w:type="dxa"/>
            <w:bottom w:w="0" w:type="dxa"/>
            <w:right w:w="0" w:type="dxa"/>
          </w:tblCellMar>
        </w:tblPrEx>
        <w:trPr>
          <w:trHeight w:val="78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12</w:t>
            </w:r>
          </w:p>
        </w:tc>
        <w:tc>
          <w:tcPr>
            <w:tcW w:w="0" w:type="auto"/>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施工管理</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1.现场未按施工方案落实安全防范措施的</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2.危险作业未经业主人员审批先行施工的</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3.未按施工方案施工的</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扣合同金额的10%或2000</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扣合同金额的5%或5000</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扣合同金额的2%或1万</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扣合同金额的1%或2万</w:t>
            </w:r>
          </w:p>
        </w:tc>
      </w:tr>
      <w:tr>
        <w:tblPrEx>
          <w:tblCellMar>
            <w:top w:w="0" w:type="dxa"/>
            <w:left w:w="0" w:type="dxa"/>
            <w:bottom w:w="0" w:type="dxa"/>
            <w:right w:w="0" w:type="dxa"/>
          </w:tblCellMar>
        </w:tblPrEx>
        <w:trPr>
          <w:trHeight w:val="94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13</w:t>
            </w:r>
          </w:p>
        </w:tc>
        <w:tc>
          <w:tcPr>
            <w:tcW w:w="0" w:type="auto"/>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每日安全交底</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1.缺少书面交底、未留存书面资料或交底资料缺少交底人、被交底人及安全员签字的</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2.内容未结合当天的现场状况、特点、工序，对危险因素、施工内容、安全作业和应急措施进行交底的</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扣合同金额的3%或300</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扣合同金额的1%或1000</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扣合同金额的0.5%或2500</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扣合同金额的0.3%或5000</w:t>
            </w:r>
          </w:p>
        </w:tc>
      </w:tr>
      <w:tr>
        <w:tblPrEx>
          <w:tblCellMar>
            <w:top w:w="0" w:type="dxa"/>
            <w:left w:w="0" w:type="dxa"/>
            <w:bottom w:w="0" w:type="dxa"/>
            <w:right w:w="0" w:type="dxa"/>
          </w:tblCellMar>
        </w:tblPrEx>
        <w:trPr>
          <w:trHeight w:val="9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14</w:t>
            </w:r>
          </w:p>
        </w:tc>
        <w:tc>
          <w:tcPr>
            <w:tcW w:w="0" w:type="auto"/>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作业行为管理</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1.违反9大危险作业相关作业规范的</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2.现场存在违章作业、违章指挥等违反相关安全管理规定或制度的</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3.人员错误使用劳保用品3次以上的</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扣合同金额的6%或700</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扣合同金额的3%或3500</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扣合同金额的1.5%或5000</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扣合同金额的0.5%或1万</w:t>
            </w:r>
          </w:p>
        </w:tc>
      </w:tr>
      <w:tr>
        <w:tblPrEx>
          <w:tblCellMar>
            <w:top w:w="0" w:type="dxa"/>
            <w:left w:w="0" w:type="dxa"/>
            <w:bottom w:w="0" w:type="dxa"/>
            <w:right w:w="0" w:type="dxa"/>
          </w:tblCellMar>
        </w:tblPrEx>
        <w:trPr>
          <w:trHeight w:val="68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15</w:t>
            </w:r>
          </w:p>
        </w:tc>
        <w:tc>
          <w:tcPr>
            <w:tcW w:w="0" w:type="auto"/>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安全记录</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未按施工要求开展现场记录或记录内容有缺失</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扣合同金额的3%或300</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扣合同金额的1%或1000</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扣合同金额的0.5%或2500</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扣合同金额的0.3%或5000</w:t>
            </w:r>
          </w:p>
        </w:tc>
      </w:tr>
      <w:tr>
        <w:tblPrEx>
          <w:tblCellMar>
            <w:top w:w="0" w:type="dxa"/>
            <w:left w:w="0" w:type="dxa"/>
            <w:bottom w:w="0" w:type="dxa"/>
            <w:right w:w="0" w:type="dxa"/>
          </w:tblCellMar>
        </w:tblPrEx>
        <w:trPr>
          <w:trHeight w:val="7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16</w:t>
            </w:r>
          </w:p>
        </w:tc>
        <w:tc>
          <w:tcPr>
            <w:tcW w:w="0" w:type="auto"/>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应急管理</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1.未设置应急物资点，未统一存放应急物资</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2.应急物资点无应急物资清单或无应急物资每日检查表</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3.无开展日常应急培训、训练、演练或无资料留档的</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扣合同金额的3%或300</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扣合同金额的1%或1000</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扣合同金额的0.5%或2500</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扣合同金额的0.3%或5000</w:t>
            </w:r>
          </w:p>
        </w:tc>
      </w:tr>
      <w:tr>
        <w:tblPrEx>
          <w:tblCellMar>
            <w:top w:w="0" w:type="dxa"/>
            <w:left w:w="0" w:type="dxa"/>
            <w:bottom w:w="0" w:type="dxa"/>
            <w:right w:w="0"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17</w:t>
            </w:r>
          </w:p>
        </w:tc>
        <w:tc>
          <w:tcPr>
            <w:tcW w:w="0" w:type="auto"/>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人员管理</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人员变更无完善的手续及资料的</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扣合同金额的3%或300</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扣合同金额的1%或1000</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扣合同金额的0.5%或2500</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扣合同金额的0.3%或5000</w:t>
            </w:r>
          </w:p>
        </w:tc>
      </w:tr>
      <w:tr>
        <w:tblPrEx>
          <w:tblCellMar>
            <w:top w:w="0" w:type="dxa"/>
            <w:left w:w="0" w:type="dxa"/>
            <w:bottom w:w="0" w:type="dxa"/>
            <w:right w:w="0"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18</w:t>
            </w:r>
          </w:p>
        </w:tc>
        <w:tc>
          <w:tcPr>
            <w:tcW w:w="0" w:type="auto"/>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隐患管理</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未及时对发现的隐患开展整改的</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扣合同金额的5%或500</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扣合同金额的2%或2000</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扣合同金额的1%或4500</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扣合同金额的0.4%或8000</w:t>
            </w:r>
          </w:p>
        </w:tc>
      </w:tr>
      <w:tr>
        <w:tblPrEx>
          <w:tblCellMar>
            <w:top w:w="0" w:type="dxa"/>
            <w:left w:w="0" w:type="dxa"/>
            <w:bottom w:w="0" w:type="dxa"/>
            <w:right w:w="0" w:type="dxa"/>
          </w:tblCellMar>
        </w:tblPrEx>
        <w:trPr>
          <w:trHeight w:val="6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19</w:t>
            </w:r>
          </w:p>
        </w:tc>
        <w:tc>
          <w:tcPr>
            <w:tcW w:w="0" w:type="auto"/>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其他</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违反业主或上级主管部门提出的其他管理要求、文件、规定或拒不执行的</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扣合同金额的3%～5%；</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或300～500</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扣合同金额的1%～2%；</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或1000～2000</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扣合同金额的0.5%～1%；</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或2500～4500</w:t>
            </w: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扣合同金额的0.3%～0.4%；</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或5000～8000</w:t>
            </w:r>
          </w:p>
        </w:tc>
      </w:tr>
      <w:tr>
        <w:tblPrEx>
          <w:tblCellMar>
            <w:top w:w="0" w:type="dxa"/>
            <w:left w:w="0" w:type="dxa"/>
            <w:bottom w:w="0" w:type="dxa"/>
            <w:right w:w="0" w:type="dxa"/>
          </w:tblCellMar>
        </w:tblPrEx>
        <w:trPr>
          <w:trHeight w:val="44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20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0" w:type="auto"/>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r>
      <w:tr>
        <w:tblPrEx>
          <w:tblCellMar>
            <w:top w:w="0" w:type="dxa"/>
            <w:left w:w="0" w:type="dxa"/>
            <w:bottom w:w="0" w:type="dxa"/>
            <w:right w:w="0" w:type="dxa"/>
          </w:tblCellMar>
        </w:tblPrEx>
        <w:trPr>
          <w:trHeight w:val="280" w:hRule="atLeast"/>
          <w:jc w:val="center"/>
        </w:trPr>
        <w:tc>
          <w:tcPr>
            <w:tcW w:w="0" w:type="auto"/>
            <w:gridSpan w:val="8"/>
            <w:tcBorders>
              <w:top w:val="nil"/>
              <w:left w:val="nil"/>
              <w:bottom w:val="nil"/>
              <w:right w:val="nil"/>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13"/>
                <w:szCs w:val="13"/>
                <w:highlight w:val="none"/>
              </w:rPr>
            </w:pPr>
            <w:r>
              <w:rPr>
                <w:rFonts w:hint="eastAsia" w:ascii="宋体" w:hAnsi="宋体" w:eastAsia="宋体" w:cs="宋体"/>
                <w:color w:val="auto"/>
                <w:kern w:val="2"/>
                <w:sz w:val="13"/>
                <w:szCs w:val="13"/>
                <w:highlight w:val="none"/>
              </w:rPr>
              <w:t>注：1、与安全管理相关的考评内容具体考评标准内容参照广州市净水有限公司标准《工程项目安全管理规范》（Q/GZJSA 1-2021）执行。</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13"/>
                <w:szCs w:val="13"/>
                <w:highlight w:val="none"/>
              </w:rPr>
            </w:pPr>
            <w:r>
              <w:rPr>
                <w:rFonts w:hint="eastAsia" w:ascii="宋体" w:hAnsi="宋体" w:eastAsia="宋体" w:cs="宋体"/>
                <w:color w:val="auto"/>
                <w:kern w:val="2"/>
                <w:sz w:val="13"/>
                <w:szCs w:val="13"/>
                <w:highlight w:val="none"/>
              </w:rPr>
              <w:t>2.本处理标准出自《广州净水公司工程项目承包单位质量安全考评细则（试行）》。</w:t>
            </w:r>
          </w:p>
          <w:p>
            <w:pPr>
              <w:pStyle w:val="22"/>
              <w:keepNext w:val="0"/>
              <w:keepLines w:val="0"/>
              <w:widowControl/>
              <w:suppressLineNumbers w:val="0"/>
              <w:spacing w:before="0" w:beforeAutospacing="0" w:afterAutospacing="0"/>
              <w:ind w:right="0" w:firstLine="0"/>
              <w:rPr>
                <w:rFonts w:hint="eastAsia" w:ascii="宋体" w:hAnsi="宋体" w:eastAsia="宋体" w:cs="宋体"/>
                <w:color w:val="auto"/>
                <w:kern w:val="2"/>
                <w:highlight w:val="none"/>
                <w:lang w:val="en-US" w:eastAsia="zh-CN"/>
              </w:rPr>
            </w:pPr>
          </w:p>
        </w:tc>
      </w:tr>
    </w:tbl>
    <w:p>
      <w:pPr>
        <w:pStyle w:val="22"/>
        <w:ind w:left="0" w:leftChars="0" w:firstLine="0" w:firstLineChars="0"/>
        <w:rPr>
          <w:rFonts w:hint="eastAsia" w:ascii="宋体" w:hAnsi="宋体" w:eastAsia="宋体" w:cs="宋体"/>
          <w:color w:val="auto"/>
          <w:sz w:val="28"/>
          <w:szCs w:val="28"/>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rPr>
          <w:rFonts w:hint="eastAsia"/>
        </w:rPr>
      </w:pPr>
    </w:p>
    <w:p>
      <w:pPr>
        <w:spacing w:line="360" w:lineRule="auto"/>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附件6：营运项目承包单位综合履约考评表（安全）</w:t>
      </w:r>
    </w:p>
    <w:tbl>
      <w:tblPr>
        <w:tblStyle w:val="23"/>
        <w:tblpPr w:leftFromText="180" w:rightFromText="180" w:vertAnchor="text" w:horzAnchor="page" w:tblpX="919" w:tblpY="355"/>
        <w:tblOverlap w:val="never"/>
        <w:tblW w:w="10161" w:type="dxa"/>
        <w:tblInd w:w="0" w:type="dxa"/>
        <w:tblLayout w:type="autofit"/>
        <w:tblCellMar>
          <w:top w:w="0" w:type="dxa"/>
          <w:left w:w="0" w:type="dxa"/>
          <w:bottom w:w="0" w:type="dxa"/>
          <w:right w:w="0" w:type="dxa"/>
        </w:tblCellMar>
      </w:tblPr>
      <w:tblGrid>
        <w:gridCol w:w="344"/>
        <w:gridCol w:w="454"/>
        <w:gridCol w:w="495"/>
        <w:gridCol w:w="3993"/>
        <w:gridCol w:w="1091"/>
        <w:gridCol w:w="757"/>
        <w:gridCol w:w="757"/>
        <w:gridCol w:w="757"/>
        <w:gridCol w:w="757"/>
        <w:gridCol w:w="756"/>
      </w:tblGrid>
      <w:tr>
        <w:tblPrEx>
          <w:tblCellMar>
            <w:top w:w="0" w:type="dxa"/>
            <w:left w:w="0" w:type="dxa"/>
            <w:bottom w:w="0" w:type="dxa"/>
            <w:right w:w="0" w:type="dxa"/>
          </w:tblCellMar>
        </w:tblPrEx>
        <w:trPr>
          <w:trHeight w:val="320" w:hRule="atLeast"/>
        </w:trPr>
        <w:tc>
          <w:tcPr>
            <w:tcW w:w="10161" w:type="dxa"/>
            <w:gridSpan w:val="10"/>
            <w:tcBorders>
              <w:top w:val="nil"/>
              <w:left w:val="nil"/>
              <w:bottom w:val="nil"/>
              <w:right w:val="nil"/>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auto"/>
                <w:kern w:val="2"/>
                <w:sz w:val="16"/>
                <w:szCs w:val="16"/>
                <w:highlight w:val="none"/>
              </w:rPr>
            </w:pPr>
            <w:r>
              <w:rPr>
                <w:rFonts w:hint="eastAsia" w:ascii="宋体" w:hAnsi="宋体" w:eastAsia="宋体" w:cs="宋体"/>
                <w:b/>
                <w:color w:val="auto"/>
                <w:kern w:val="0"/>
                <w:sz w:val="16"/>
                <w:szCs w:val="16"/>
                <w:highlight w:val="none"/>
                <w:lang w:bidi="ar"/>
              </w:rPr>
              <w:t>营运项目承包单位综合履约考评表（安全）</w:t>
            </w:r>
          </w:p>
        </w:tc>
      </w:tr>
      <w:tr>
        <w:tblPrEx>
          <w:tblCellMar>
            <w:top w:w="0" w:type="dxa"/>
            <w:left w:w="0" w:type="dxa"/>
            <w:bottom w:w="0" w:type="dxa"/>
            <w:right w:w="0" w:type="dxa"/>
          </w:tblCellMar>
        </w:tblPrEx>
        <w:trPr>
          <w:trHeight w:val="380" w:hRule="atLeast"/>
        </w:trPr>
        <w:tc>
          <w:tcPr>
            <w:tcW w:w="5286" w:type="dxa"/>
            <w:gridSpan w:val="4"/>
            <w:tcBorders>
              <w:top w:val="nil"/>
              <w:left w:val="nil"/>
              <w:bottom w:val="nil"/>
              <w:right w:val="nil"/>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color w:val="auto"/>
                <w:kern w:val="2"/>
                <w:sz w:val="16"/>
                <w:szCs w:val="16"/>
                <w:highlight w:val="none"/>
              </w:rPr>
            </w:pPr>
            <w:r>
              <w:rPr>
                <w:rFonts w:hint="eastAsia" w:ascii="宋体" w:hAnsi="宋体" w:eastAsia="宋体" w:cs="宋体"/>
                <w:b/>
                <w:color w:val="auto"/>
                <w:kern w:val="0"/>
                <w:sz w:val="16"/>
                <w:szCs w:val="16"/>
                <w:highlight w:val="none"/>
                <w:lang w:bidi="ar"/>
              </w:rPr>
              <w:t>项目名称：</w:t>
            </w:r>
          </w:p>
        </w:tc>
        <w:tc>
          <w:tcPr>
            <w:tcW w:w="1091" w:type="dxa"/>
            <w:tcBorders>
              <w:top w:val="nil"/>
              <w:left w:val="nil"/>
              <w:bottom w:val="nil"/>
              <w:right w:val="nil"/>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auto"/>
                <w:kern w:val="2"/>
                <w:sz w:val="16"/>
                <w:szCs w:val="16"/>
                <w:highlight w:val="none"/>
              </w:rPr>
            </w:pPr>
          </w:p>
        </w:tc>
        <w:tc>
          <w:tcPr>
            <w:tcW w:w="3784" w:type="dxa"/>
            <w:gridSpan w:val="5"/>
            <w:tcBorders>
              <w:top w:val="nil"/>
              <w:left w:val="nil"/>
              <w:bottom w:val="nil"/>
              <w:right w:val="nil"/>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color w:val="auto"/>
                <w:kern w:val="2"/>
                <w:sz w:val="16"/>
                <w:szCs w:val="16"/>
                <w:highlight w:val="none"/>
              </w:rPr>
            </w:pPr>
            <w:r>
              <w:rPr>
                <w:rFonts w:hint="eastAsia" w:ascii="宋体" w:hAnsi="宋体" w:eastAsia="宋体" w:cs="宋体"/>
                <w:b/>
                <w:color w:val="auto"/>
                <w:kern w:val="0"/>
                <w:sz w:val="16"/>
                <w:szCs w:val="16"/>
                <w:highlight w:val="none"/>
                <w:lang w:bidi="ar"/>
              </w:rPr>
              <w:t>综合考评日期：           年        月        日</w:t>
            </w:r>
          </w:p>
        </w:tc>
      </w:tr>
      <w:tr>
        <w:tblPrEx>
          <w:tblCellMar>
            <w:top w:w="0" w:type="dxa"/>
            <w:left w:w="0" w:type="dxa"/>
            <w:bottom w:w="0" w:type="dxa"/>
            <w:right w:w="0" w:type="dxa"/>
          </w:tblCellMar>
        </w:tblPrEx>
        <w:trPr>
          <w:trHeight w:val="380" w:hRule="atLeast"/>
        </w:trPr>
        <w:tc>
          <w:tcPr>
            <w:tcW w:w="344"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序号</w:t>
            </w:r>
          </w:p>
        </w:tc>
        <w:tc>
          <w:tcPr>
            <w:tcW w:w="45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考评项目</w:t>
            </w:r>
          </w:p>
        </w:tc>
        <w:tc>
          <w:tcPr>
            <w:tcW w:w="49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考评分项</w:t>
            </w:r>
          </w:p>
        </w:tc>
        <w:tc>
          <w:tcPr>
            <w:tcW w:w="3993"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考评内容</w:t>
            </w:r>
          </w:p>
        </w:tc>
        <w:tc>
          <w:tcPr>
            <w:tcW w:w="1091"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考评标准</w:t>
            </w:r>
          </w:p>
        </w:tc>
        <w:tc>
          <w:tcPr>
            <w:tcW w:w="75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监理单位考评</w:t>
            </w:r>
          </w:p>
        </w:tc>
        <w:tc>
          <w:tcPr>
            <w:tcW w:w="75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分公司考评</w:t>
            </w:r>
          </w:p>
        </w:tc>
        <w:tc>
          <w:tcPr>
            <w:tcW w:w="151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公司考评</w:t>
            </w:r>
          </w:p>
        </w:tc>
        <w:tc>
          <w:tcPr>
            <w:tcW w:w="75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综合考评</w:t>
            </w:r>
          </w:p>
        </w:tc>
      </w:tr>
      <w:tr>
        <w:tblPrEx>
          <w:tblCellMar>
            <w:top w:w="0" w:type="dxa"/>
            <w:left w:w="0" w:type="dxa"/>
            <w:bottom w:w="0" w:type="dxa"/>
            <w:right w:w="0" w:type="dxa"/>
          </w:tblCellMar>
        </w:tblPrEx>
        <w:trPr>
          <w:trHeight w:val="380" w:hRule="atLeast"/>
        </w:trPr>
        <w:tc>
          <w:tcPr>
            <w:tcW w:w="344"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45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49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3993"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109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75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75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业务主管部门</w:t>
            </w: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安全管理部门</w:t>
            </w:r>
          </w:p>
        </w:tc>
        <w:tc>
          <w:tcPr>
            <w:tcW w:w="75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r>
      <w:tr>
        <w:tblPrEx>
          <w:tblCellMar>
            <w:top w:w="0" w:type="dxa"/>
            <w:left w:w="0" w:type="dxa"/>
            <w:bottom w:w="0" w:type="dxa"/>
            <w:right w:w="0" w:type="dxa"/>
          </w:tblCellMar>
        </w:tblPrEx>
        <w:trPr>
          <w:trHeight w:val="300" w:hRule="atLeast"/>
        </w:trPr>
        <w:tc>
          <w:tcPr>
            <w:tcW w:w="10161" w:type="dxa"/>
            <w:gridSpan w:val="10"/>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一、加分部分</w:t>
            </w:r>
          </w:p>
        </w:tc>
      </w:tr>
      <w:tr>
        <w:tblPrEx>
          <w:tblCellMar>
            <w:top w:w="0" w:type="dxa"/>
            <w:left w:w="0" w:type="dxa"/>
            <w:bottom w:w="0" w:type="dxa"/>
            <w:right w:w="0" w:type="dxa"/>
          </w:tblCellMar>
        </w:tblPrEx>
        <w:trPr>
          <w:trHeight w:val="540" w:hRule="atLeast"/>
        </w:trPr>
        <w:tc>
          <w:tcPr>
            <w:tcW w:w="34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1</w:t>
            </w:r>
          </w:p>
        </w:tc>
        <w:tc>
          <w:tcPr>
            <w:tcW w:w="949"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综合管理</w:t>
            </w:r>
          </w:p>
        </w:tc>
        <w:tc>
          <w:tcPr>
            <w:tcW w:w="39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受到业主单位或上级管理部门通报表扬的</w:t>
            </w:r>
          </w:p>
        </w:tc>
        <w:tc>
          <w:tcPr>
            <w:tcW w:w="109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加5～10分/项，可叠加</w:t>
            </w: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r>
      <w:tr>
        <w:tblPrEx>
          <w:tblCellMar>
            <w:top w:w="0" w:type="dxa"/>
            <w:left w:w="0" w:type="dxa"/>
            <w:bottom w:w="0" w:type="dxa"/>
            <w:right w:w="0" w:type="dxa"/>
          </w:tblCellMar>
        </w:tblPrEx>
        <w:trPr>
          <w:trHeight w:val="540" w:hRule="atLeast"/>
        </w:trPr>
        <w:tc>
          <w:tcPr>
            <w:tcW w:w="34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2</w:t>
            </w:r>
          </w:p>
        </w:tc>
        <w:tc>
          <w:tcPr>
            <w:tcW w:w="949"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现场管理</w:t>
            </w:r>
          </w:p>
        </w:tc>
        <w:tc>
          <w:tcPr>
            <w:tcW w:w="39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积极配合业主单位做好安全工作及相关宣传教育，积极主动排查隐患的</w:t>
            </w:r>
          </w:p>
        </w:tc>
        <w:tc>
          <w:tcPr>
            <w:tcW w:w="109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加5分/项</w:t>
            </w: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r>
      <w:tr>
        <w:tblPrEx>
          <w:tblCellMar>
            <w:top w:w="0" w:type="dxa"/>
            <w:left w:w="0" w:type="dxa"/>
            <w:bottom w:w="0" w:type="dxa"/>
            <w:right w:w="0" w:type="dxa"/>
          </w:tblCellMar>
        </w:tblPrEx>
        <w:trPr>
          <w:trHeight w:val="260" w:hRule="atLeast"/>
        </w:trPr>
        <w:tc>
          <w:tcPr>
            <w:tcW w:w="10161" w:type="dxa"/>
            <w:gridSpan w:val="10"/>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二、扣分部分</w:t>
            </w:r>
          </w:p>
        </w:tc>
      </w:tr>
      <w:tr>
        <w:tblPrEx>
          <w:tblCellMar>
            <w:top w:w="0" w:type="dxa"/>
            <w:left w:w="0" w:type="dxa"/>
            <w:bottom w:w="0" w:type="dxa"/>
            <w:right w:w="0" w:type="dxa"/>
          </w:tblCellMar>
        </w:tblPrEx>
        <w:trPr>
          <w:trHeight w:val="90" w:hRule="atLeast"/>
        </w:trPr>
        <w:tc>
          <w:tcPr>
            <w:tcW w:w="34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3</w:t>
            </w:r>
          </w:p>
        </w:tc>
        <w:tc>
          <w:tcPr>
            <w:tcW w:w="45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安全事故</w:t>
            </w:r>
          </w:p>
        </w:tc>
        <w:tc>
          <w:tcPr>
            <w:tcW w:w="49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事故类型</w:t>
            </w:r>
          </w:p>
        </w:tc>
        <w:tc>
          <w:tcPr>
            <w:tcW w:w="39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发生重伤1人及以上安全事故，或直接经济损失达200万元以上的安全生产事故</w:t>
            </w:r>
          </w:p>
        </w:tc>
        <w:tc>
          <w:tcPr>
            <w:tcW w:w="109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扣100分/项，同时3年内禁止来我公司投标</w:t>
            </w: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r>
      <w:tr>
        <w:tblPrEx>
          <w:tblCellMar>
            <w:top w:w="0" w:type="dxa"/>
            <w:left w:w="0" w:type="dxa"/>
            <w:bottom w:w="0" w:type="dxa"/>
            <w:right w:w="0" w:type="dxa"/>
          </w:tblCellMar>
        </w:tblPrEx>
        <w:trPr>
          <w:trHeight w:val="780" w:hRule="atLeast"/>
        </w:trPr>
        <w:tc>
          <w:tcPr>
            <w:tcW w:w="34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6</w:t>
            </w:r>
          </w:p>
        </w:tc>
        <w:tc>
          <w:tcPr>
            <w:tcW w:w="45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49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39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发生停产、影响环境、破坏公共设施、造成不良影响等事故的</w:t>
            </w:r>
          </w:p>
        </w:tc>
        <w:tc>
          <w:tcPr>
            <w:tcW w:w="109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扣40分/项，可叠加，到达100分，3年内禁止来我公司投标</w:t>
            </w: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r>
      <w:tr>
        <w:tblPrEx>
          <w:tblCellMar>
            <w:top w:w="0" w:type="dxa"/>
            <w:left w:w="0" w:type="dxa"/>
            <w:bottom w:w="0" w:type="dxa"/>
            <w:right w:w="0" w:type="dxa"/>
          </w:tblCellMar>
        </w:tblPrEx>
        <w:trPr>
          <w:trHeight w:val="1440" w:hRule="atLeast"/>
        </w:trPr>
        <w:tc>
          <w:tcPr>
            <w:tcW w:w="34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7</w:t>
            </w:r>
          </w:p>
        </w:tc>
        <w:tc>
          <w:tcPr>
            <w:tcW w:w="45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4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事故处理</w:t>
            </w:r>
          </w:p>
        </w:tc>
        <w:tc>
          <w:tcPr>
            <w:tcW w:w="39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1.发生事故或事件隐瞒不报的</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2.未在1小时内向业主单位上报事故的</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3.拒绝、不配合事故事件调查的或事故事件调查提供虚假信息</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4.未按规定和程序组织事故调查和事故处理的</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5.未及时处理导致事故扩大的</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6.未落实“四不放过”的</w:t>
            </w:r>
          </w:p>
        </w:tc>
        <w:tc>
          <w:tcPr>
            <w:tcW w:w="109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扣100分/项，同时3年内禁止来我公司投标</w:t>
            </w: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r>
      <w:tr>
        <w:tblPrEx>
          <w:tblCellMar>
            <w:top w:w="0" w:type="dxa"/>
            <w:left w:w="0" w:type="dxa"/>
            <w:bottom w:w="0" w:type="dxa"/>
            <w:right w:w="0" w:type="dxa"/>
          </w:tblCellMar>
        </w:tblPrEx>
        <w:trPr>
          <w:trHeight w:val="1280" w:hRule="atLeast"/>
        </w:trPr>
        <w:tc>
          <w:tcPr>
            <w:tcW w:w="34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8</w:t>
            </w:r>
          </w:p>
        </w:tc>
        <w:tc>
          <w:tcPr>
            <w:tcW w:w="45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首次备案施工单位须提供的资料</w:t>
            </w:r>
          </w:p>
        </w:tc>
        <w:tc>
          <w:tcPr>
            <w:tcW w:w="4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一般资料</w:t>
            </w:r>
          </w:p>
        </w:tc>
        <w:tc>
          <w:tcPr>
            <w:tcW w:w="39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1.施工人员签名的安全交底表（交底内容由分公司编写），被交底人员应与人员花名册一致</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2.施工单位对施工人员的三级安全教育材料</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3.特殊时期需要增加的资料（如新冠疫情期间，需要增加的人员健康码和行程码资料）</w:t>
            </w:r>
          </w:p>
        </w:tc>
        <w:tc>
          <w:tcPr>
            <w:tcW w:w="109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缺资料扣3～5分/项；</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资料有问题扣1～3分/项</w:t>
            </w: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r>
      <w:tr>
        <w:tblPrEx>
          <w:tblCellMar>
            <w:top w:w="0" w:type="dxa"/>
            <w:left w:w="0" w:type="dxa"/>
            <w:bottom w:w="0" w:type="dxa"/>
            <w:right w:w="0" w:type="dxa"/>
          </w:tblCellMar>
        </w:tblPrEx>
        <w:trPr>
          <w:trHeight w:val="1380" w:hRule="atLeast"/>
        </w:trPr>
        <w:tc>
          <w:tcPr>
            <w:tcW w:w="34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9</w:t>
            </w:r>
          </w:p>
        </w:tc>
        <w:tc>
          <w:tcPr>
            <w:tcW w:w="45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4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施工方案</w:t>
            </w:r>
          </w:p>
        </w:tc>
        <w:tc>
          <w:tcPr>
            <w:tcW w:w="39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4.施工方案，应满足合同要求，内容至少包括：</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 xml:space="preserve">  施工点介绍</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 xml:space="preserve">  施工内容（含作业流程、风险分析、施工工艺等）</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 xml:space="preserve">  施工设备和材料（必要时含构件测试手段等）</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 xml:space="preserve">  安全措施（根据工程特点、分公司的风险评估和施工单位的施工工艺制定）</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 xml:space="preserve">  正常施工安全物资（主要是安全防护设备、劳保用品）</w:t>
            </w:r>
          </w:p>
        </w:tc>
        <w:tc>
          <w:tcPr>
            <w:tcW w:w="109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缺施工方案扣4～8分/项；</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资料有问题扣1～3分/项</w:t>
            </w: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r>
      <w:tr>
        <w:tblPrEx>
          <w:tblCellMar>
            <w:top w:w="0" w:type="dxa"/>
            <w:left w:w="0" w:type="dxa"/>
            <w:bottom w:w="0" w:type="dxa"/>
            <w:right w:w="0" w:type="dxa"/>
          </w:tblCellMar>
        </w:tblPrEx>
        <w:trPr>
          <w:trHeight w:val="537" w:hRule="atLeast"/>
        </w:trPr>
        <w:tc>
          <w:tcPr>
            <w:tcW w:w="34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10</w:t>
            </w:r>
          </w:p>
        </w:tc>
        <w:tc>
          <w:tcPr>
            <w:tcW w:w="45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4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应急预案</w:t>
            </w:r>
          </w:p>
        </w:tc>
        <w:tc>
          <w:tcPr>
            <w:tcW w:w="39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5.应急预案，内容至少包括：</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 xml:space="preserve">  现场情况介绍</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 xml:space="preserve">  风险评估</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 xml:space="preserve">  应急架构（包括应急主管人员和安全员，以及各应急小组，落实到人和联系方式）</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 xml:space="preserve">  应急流程</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 xml:space="preserve">  各种风险情况下的应急措施（根据现场情况、分公司的风险评估制定）</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 xml:space="preserve">  应急物资清单</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 xml:space="preserve">  外单位救援力量及联系方式等</w:t>
            </w:r>
          </w:p>
        </w:tc>
        <w:tc>
          <w:tcPr>
            <w:tcW w:w="109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缺应急预案扣4～8分/项；</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资料有问题扣1～3分/项</w:t>
            </w: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r>
      <w:tr>
        <w:tblPrEx>
          <w:tblCellMar>
            <w:top w:w="0" w:type="dxa"/>
            <w:left w:w="0" w:type="dxa"/>
            <w:bottom w:w="0" w:type="dxa"/>
            <w:right w:w="0" w:type="dxa"/>
          </w:tblCellMar>
        </w:tblPrEx>
        <w:trPr>
          <w:trHeight w:val="1520" w:hRule="atLeast"/>
        </w:trPr>
        <w:tc>
          <w:tcPr>
            <w:tcW w:w="34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11</w:t>
            </w:r>
          </w:p>
        </w:tc>
        <w:tc>
          <w:tcPr>
            <w:tcW w:w="45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4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安全架构</w:t>
            </w:r>
          </w:p>
        </w:tc>
        <w:tc>
          <w:tcPr>
            <w:tcW w:w="39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6.安全架构和相应安全责任制（落实到人和联系方式），可编写入施工方案内，架构人员主要包括：</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 xml:space="preserve">  安全责任人</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 xml:space="preserve">  施工负责人（可与安全责任人为同一个人）</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 xml:space="preserve">  安全员</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 xml:space="preserve">  设备、物资管理人员</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 xml:space="preserve">  关键岗位人员、特种作业人员</w:t>
            </w:r>
          </w:p>
        </w:tc>
        <w:tc>
          <w:tcPr>
            <w:tcW w:w="109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缺安全架构扣5～10分/项；</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缺任何一类人员及其职责有问题扣2～4分/项</w:t>
            </w: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r>
      <w:tr>
        <w:tblPrEx>
          <w:tblCellMar>
            <w:top w:w="0" w:type="dxa"/>
            <w:left w:w="0" w:type="dxa"/>
            <w:bottom w:w="0" w:type="dxa"/>
            <w:right w:w="0" w:type="dxa"/>
          </w:tblCellMar>
        </w:tblPrEx>
        <w:trPr>
          <w:trHeight w:val="2420" w:hRule="atLeast"/>
        </w:trPr>
        <w:tc>
          <w:tcPr>
            <w:tcW w:w="34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12</w:t>
            </w:r>
          </w:p>
        </w:tc>
        <w:tc>
          <w:tcPr>
            <w:tcW w:w="45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4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人员资质</w:t>
            </w:r>
          </w:p>
        </w:tc>
        <w:tc>
          <w:tcPr>
            <w:tcW w:w="39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7.施工人员花名册，人员应包含：</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 xml:space="preserve">  施工负责人（需要施工管理人员资格证书）</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 xml:space="preserve">  安全员（涉及动火、临时用电、有限空间、高空、抽堵盲板、吊装、动土、断路、设备检修等9大危险作业的，安全员需要有安全员证）</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 xml:space="preserve">  特种作业人员（附证件号，同时要复印特种作业证，特种作业人数应满足合同要求）</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 xml:space="preserve">  一般施工人员</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 xml:space="preserve">  可能需要进入厂区的其他人员（如监理人员、资料员等）</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注：如作业涉及危险作业，作业人员须有作业人员岗前职业病体检和筛选</w:t>
            </w:r>
          </w:p>
        </w:tc>
        <w:tc>
          <w:tcPr>
            <w:tcW w:w="109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缺花名册扣3～5分/项；</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缺特种作业人员或特种作业人员不满足合同要求扣3～5分/项；</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其他人员或资料有缺漏扣1～3分/项</w:t>
            </w: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r>
      <w:tr>
        <w:tblPrEx>
          <w:tblCellMar>
            <w:top w:w="0" w:type="dxa"/>
            <w:left w:w="0" w:type="dxa"/>
            <w:bottom w:w="0" w:type="dxa"/>
            <w:right w:w="0" w:type="dxa"/>
          </w:tblCellMar>
        </w:tblPrEx>
        <w:trPr>
          <w:trHeight w:val="1560" w:hRule="atLeast"/>
        </w:trPr>
        <w:tc>
          <w:tcPr>
            <w:tcW w:w="34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13</w:t>
            </w:r>
          </w:p>
        </w:tc>
        <w:tc>
          <w:tcPr>
            <w:tcW w:w="45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施工现场管理</w:t>
            </w:r>
          </w:p>
        </w:tc>
        <w:tc>
          <w:tcPr>
            <w:tcW w:w="4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现场面貌</w:t>
            </w:r>
          </w:p>
        </w:tc>
        <w:tc>
          <w:tcPr>
            <w:tcW w:w="39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1.施工现场未开展有效围蔽</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2.无七牌一图或有缺漏（七牌：工程概况牌：管理人员名单及监督电话牌、现场事故应急救援预案公示牌、安全生产牌、文明施工牌、消防保卫牌、环境保护牌；一图：施工现场平面图）</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3.现场无危险源公示、告知及相应警示</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4.材料堆放存在重大隐患</w:t>
            </w:r>
          </w:p>
        </w:tc>
        <w:tc>
          <w:tcPr>
            <w:tcW w:w="109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扣2～4分/项</w:t>
            </w: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r>
      <w:tr>
        <w:tblPrEx>
          <w:tblCellMar>
            <w:top w:w="0" w:type="dxa"/>
            <w:left w:w="0" w:type="dxa"/>
            <w:bottom w:w="0" w:type="dxa"/>
            <w:right w:w="0" w:type="dxa"/>
          </w:tblCellMar>
        </w:tblPrEx>
        <w:trPr>
          <w:trHeight w:val="840" w:hRule="atLeast"/>
        </w:trPr>
        <w:tc>
          <w:tcPr>
            <w:tcW w:w="34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14</w:t>
            </w:r>
          </w:p>
        </w:tc>
        <w:tc>
          <w:tcPr>
            <w:tcW w:w="45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4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施工管理</w:t>
            </w:r>
          </w:p>
        </w:tc>
        <w:tc>
          <w:tcPr>
            <w:tcW w:w="39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1.现场未按施工方案落实安全防范措施的</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2.危险作业未经业主人员审批先行施工的</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3.未按施工方案施工的</w:t>
            </w:r>
          </w:p>
        </w:tc>
        <w:tc>
          <w:tcPr>
            <w:tcW w:w="109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扣3～5分/项</w:t>
            </w: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r>
      <w:tr>
        <w:tblPrEx>
          <w:tblCellMar>
            <w:top w:w="0" w:type="dxa"/>
            <w:left w:w="0" w:type="dxa"/>
            <w:bottom w:w="0" w:type="dxa"/>
            <w:right w:w="0" w:type="dxa"/>
          </w:tblCellMar>
        </w:tblPrEx>
        <w:trPr>
          <w:trHeight w:val="860" w:hRule="atLeast"/>
        </w:trPr>
        <w:tc>
          <w:tcPr>
            <w:tcW w:w="34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15</w:t>
            </w:r>
          </w:p>
        </w:tc>
        <w:tc>
          <w:tcPr>
            <w:tcW w:w="45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4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每日安全交底</w:t>
            </w:r>
          </w:p>
        </w:tc>
        <w:tc>
          <w:tcPr>
            <w:tcW w:w="39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1.缺少书面交底、未留存书面资料或交底资料缺少交底人、被交底人及安全员签字的</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2.内容未结合当天的现场状况、特点、工序，对危险因素、施工内容、安全作业和应急措施进行交底的</w:t>
            </w:r>
          </w:p>
        </w:tc>
        <w:tc>
          <w:tcPr>
            <w:tcW w:w="109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扣2～4分/项</w:t>
            </w: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r>
      <w:tr>
        <w:tblPrEx>
          <w:tblCellMar>
            <w:top w:w="0" w:type="dxa"/>
            <w:left w:w="0" w:type="dxa"/>
            <w:bottom w:w="0" w:type="dxa"/>
            <w:right w:w="0" w:type="dxa"/>
          </w:tblCellMar>
        </w:tblPrEx>
        <w:trPr>
          <w:trHeight w:val="1100" w:hRule="atLeast"/>
        </w:trPr>
        <w:tc>
          <w:tcPr>
            <w:tcW w:w="34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16</w:t>
            </w:r>
          </w:p>
        </w:tc>
        <w:tc>
          <w:tcPr>
            <w:tcW w:w="45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4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作业行为管理</w:t>
            </w:r>
          </w:p>
        </w:tc>
        <w:tc>
          <w:tcPr>
            <w:tcW w:w="39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1.违反9大危险作业相关作业规范的</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2.现场存在违章作业、违章指挥等违反相关安全管理规定或制度的</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3.人员错误使用劳保用品3次以上的</w:t>
            </w:r>
          </w:p>
        </w:tc>
        <w:tc>
          <w:tcPr>
            <w:tcW w:w="109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扣3～5分/项</w:t>
            </w: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r>
      <w:tr>
        <w:tblPrEx>
          <w:tblCellMar>
            <w:top w:w="0" w:type="dxa"/>
            <w:left w:w="0" w:type="dxa"/>
            <w:bottom w:w="0" w:type="dxa"/>
            <w:right w:w="0" w:type="dxa"/>
          </w:tblCellMar>
        </w:tblPrEx>
        <w:trPr>
          <w:trHeight w:val="500" w:hRule="atLeast"/>
        </w:trPr>
        <w:tc>
          <w:tcPr>
            <w:tcW w:w="34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17</w:t>
            </w:r>
          </w:p>
        </w:tc>
        <w:tc>
          <w:tcPr>
            <w:tcW w:w="45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4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安全记录</w:t>
            </w:r>
          </w:p>
        </w:tc>
        <w:tc>
          <w:tcPr>
            <w:tcW w:w="39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未按施工要求开展现场记录或记录内容有缺失</w:t>
            </w:r>
          </w:p>
        </w:tc>
        <w:tc>
          <w:tcPr>
            <w:tcW w:w="109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扣2～4分/项</w:t>
            </w: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r>
      <w:tr>
        <w:tblPrEx>
          <w:tblCellMar>
            <w:top w:w="0" w:type="dxa"/>
            <w:left w:w="0" w:type="dxa"/>
            <w:bottom w:w="0" w:type="dxa"/>
            <w:right w:w="0" w:type="dxa"/>
          </w:tblCellMar>
        </w:tblPrEx>
        <w:trPr>
          <w:trHeight w:val="760" w:hRule="atLeast"/>
        </w:trPr>
        <w:tc>
          <w:tcPr>
            <w:tcW w:w="34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18</w:t>
            </w:r>
          </w:p>
        </w:tc>
        <w:tc>
          <w:tcPr>
            <w:tcW w:w="45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4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应急管理</w:t>
            </w:r>
          </w:p>
        </w:tc>
        <w:tc>
          <w:tcPr>
            <w:tcW w:w="39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1.未设置应急物资点，未统一存放应急物资</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bidi="ar"/>
              </w:rPr>
              <w:t>2.应急物资点无应急物资清单或无应急物资每日检查表</w:t>
            </w:r>
          </w:p>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3.无开展日常应急培训、训练、演练或无资料留档的</w:t>
            </w:r>
          </w:p>
        </w:tc>
        <w:tc>
          <w:tcPr>
            <w:tcW w:w="109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扣2～4分/项</w:t>
            </w: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r>
      <w:tr>
        <w:tblPrEx>
          <w:tblCellMar>
            <w:top w:w="0" w:type="dxa"/>
            <w:left w:w="0" w:type="dxa"/>
            <w:bottom w:w="0" w:type="dxa"/>
            <w:right w:w="0" w:type="dxa"/>
          </w:tblCellMar>
        </w:tblPrEx>
        <w:trPr>
          <w:trHeight w:val="520" w:hRule="atLeast"/>
        </w:trPr>
        <w:tc>
          <w:tcPr>
            <w:tcW w:w="34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19</w:t>
            </w:r>
          </w:p>
        </w:tc>
        <w:tc>
          <w:tcPr>
            <w:tcW w:w="45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4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人员管理</w:t>
            </w:r>
          </w:p>
        </w:tc>
        <w:tc>
          <w:tcPr>
            <w:tcW w:w="39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人员变更无完善的手续及资料的</w:t>
            </w:r>
          </w:p>
        </w:tc>
        <w:tc>
          <w:tcPr>
            <w:tcW w:w="109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扣3～5分/项</w:t>
            </w: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r>
      <w:tr>
        <w:tblPrEx>
          <w:tblCellMar>
            <w:top w:w="0" w:type="dxa"/>
            <w:left w:w="0" w:type="dxa"/>
            <w:bottom w:w="0" w:type="dxa"/>
            <w:right w:w="0" w:type="dxa"/>
          </w:tblCellMar>
        </w:tblPrEx>
        <w:trPr>
          <w:trHeight w:val="440" w:hRule="atLeast"/>
        </w:trPr>
        <w:tc>
          <w:tcPr>
            <w:tcW w:w="34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20</w:t>
            </w:r>
          </w:p>
        </w:tc>
        <w:tc>
          <w:tcPr>
            <w:tcW w:w="45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4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隐患管理</w:t>
            </w:r>
          </w:p>
        </w:tc>
        <w:tc>
          <w:tcPr>
            <w:tcW w:w="39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未及时对发现的隐患开展整改的</w:t>
            </w:r>
          </w:p>
        </w:tc>
        <w:tc>
          <w:tcPr>
            <w:tcW w:w="109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扣4～8分/项</w:t>
            </w: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r>
      <w:tr>
        <w:tblPrEx>
          <w:tblCellMar>
            <w:top w:w="0" w:type="dxa"/>
            <w:left w:w="0" w:type="dxa"/>
            <w:bottom w:w="0" w:type="dxa"/>
            <w:right w:w="0" w:type="dxa"/>
          </w:tblCellMar>
        </w:tblPrEx>
        <w:trPr>
          <w:trHeight w:val="560" w:hRule="atLeast"/>
        </w:trPr>
        <w:tc>
          <w:tcPr>
            <w:tcW w:w="34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21</w:t>
            </w:r>
          </w:p>
        </w:tc>
        <w:tc>
          <w:tcPr>
            <w:tcW w:w="45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4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其他</w:t>
            </w:r>
          </w:p>
        </w:tc>
        <w:tc>
          <w:tcPr>
            <w:tcW w:w="39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违反业主或上级主管部门提出的其他管理要求、文件、规定或拒不执行的</w:t>
            </w:r>
          </w:p>
        </w:tc>
        <w:tc>
          <w:tcPr>
            <w:tcW w:w="109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扣2～5分/项</w:t>
            </w: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r>
      <w:tr>
        <w:tblPrEx>
          <w:tblCellMar>
            <w:top w:w="0" w:type="dxa"/>
            <w:left w:w="0" w:type="dxa"/>
            <w:bottom w:w="0" w:type="dxa"/>
            <w:right w:w="0" w:type="dxa"/>
          </w:tblCellMar>
        </w:tblPrEx>
        <w:trPr>
          <w:trHeight w:val="320" w:hRule="atLeast"/>
        </w:trPr>
        <w:tc>
          <w:tcPr>
            <w:tcW w:w="34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2"/>
                <w:sz w:val="16"/>
                <w:szCs w:val="16"/>
                <w:highlight w:val="none"/>
              </w:rPr>
            </w:pPr>
            <w:r>
              <w:rPr>
                <w:rFonts w:hint="eastAsia" w:ascii="宋体" w:hAnsi="宋体" w:eastAsia="宋体" w:cs="宋体"/>
                <w:color w:val="auto"/>
                <w:kern w:val="0"/>
                <w:sz w:val="16"/>
                <w:szCs w:val="16"/>
                <w:highlight w:val="none"/>
                <w:lang w:bidi="ar"/>
              </w:rPr>
              <w:t>22</w:t>
            </w:r>
          </w:p>
        </w:tc>
        <w:tc>
          <w:tcPr>
            <w:tcW w:w="45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49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
                <w:sz w:val="16"/>
                <w:szCs w:val="16"/>
                <w:highlight w:val="none"/>
              </w:rPr>
            </w:pPr>
          </w:p>
        </w:tc>
        <w:tc>
          <w:tcPr>
            <w:tcW w:w="39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109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c>
          <w:tcPr>
            <w:tcW w:w="7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
                <w:sz w:val="16"/>
                <w:szCs w:val="16"/>
                <w:highlight w:val="none"/>
              </w:rPr>
            </w:pPr>
          </w:p>
        </w:tc>
      </w:tr>
      <w:tr>
        <w:tblPrEx>
          <w:tblCellMar>
            <w:top w:w="0" w:type="dxa"/>
            <w:left w:w="0" w:type="dxa"/>
            <w:bottom w:w="0" w:type="dxa"/>
            <w:right w:w="0" w:type="dxa"/>
          </w:tblCellMar>
        </w:tblPrEx>
        <w:trPr>
          <w:trHeight w:val="1440" w:hRule="atLeast"/>
        </w:trPr>
        <w:tc>
          <w:tcPr>
            <w:tcW w:w="10161" w:type="dxa"/>
            <w:gridSpan w:val="10"/>
            <w:tcBorders>
              <w:top w:val="nil"/>
              <w:left w:val="nil"/>
              <w:bottom w:val="nil"/>
              <w:right w:val="nil"/>
            </w:tcBorders>
            <w:tcMar>
              <w:top w:w="12" w:type="dxa"/>
              <w:left w:w="12" w:type="dxa"/>
              <w:right w:w="12"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13"/>
                <w:szCs w:val="13"/>
                <w:highlight w:val="none"/>
                <w:lang w:eastAsia="zh-CN"/>
              </w:rPr>
            </w:pPr>
            <w:r>
              <w:rPr>
                <w:rFonts w:hint="eastAsia" w:ascii="宋体" w:hAnsi="宋体" w:eastAsia="宋体" w:cs="宋体"/>
                <w:color w:val="auto"/>
                <w:kern w:val="2"/>
                <w:sz w:val="13"/>
                <w:szCs w:val="13"/>
                <w:highlight w:val="none"/>
              </w:rPr>
              <w:t>注：1、综合考评满分100分，各考评项目扣分不设上限；</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13"/>
                <w:szCs w:val="13"/>
                <w:highlight w:val="none"/>
                <w:lang w:eastAsia="zh-CN"/>
              </w:rPr>
            </w:pPr>
            <w:r>
              <w:rPr>
                <w:rFonts w:hint="eastAsia" w:ascii="宋体" w:hAnsi="宋体" w:eastAsia="宋体" w:cs="宋体"/>
                <w:color w:val="auto"/>
                <w:kern w:val="2"/>
                <w:sz w:val="13"/>
                <w:szCs w:val="13"/>
                <w:highlight w:val="none"/>
              </w:rPr>
              <w:t xml:space="preserve">    2、监理单位考评只作为参考及履职依据，不计入考评，无监理单位不需填写；</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13"/>
                <w:szCs w:val="13"/>
                <w:highlight w:val="none"/>
                <w:lang w:eastAsia="zh-CN"/>
              </w:rPr>
            </w:pPr>
            <w:r>
              <w:rPr>
                <w:rFonts w:hint="eastAsia" w:ascii="宋体" w:hAnsi="宋体" w:eastAsia="宋体" w:cs="宋体"/>
                <w:color w:val="auto"/>
                <w:kern w:val="2"/>
                <w:sz w:val="13"/>
                <w:szCs w:val="13"/>
                <w:highlight w:val="none"/>
              </w:rPr>
              <w:t xml:space="preserve">    3、“公司考评”业务主管部门和安全办针对本部门检查发现的内容进行扣（奖）分，项目部已经进行扣（奖）分的不重复执行；</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13"/>
                <w:szCs w:val="13"/>
                <w:highlight w:val="none"/>
                <w:lang w:eastAsia="zh-CN"/>
              </w:rPr>
            </w:pPr>
            <w:r>
              <w:rPr>
                <w:rFonts w:hint="eastAsia" w:ascii="宋体" w:hAnsi="宋体" w:eastAsia="宋体" w:cs="宋体"/>
                <w:color w:val="auto"/>
                <w:kern w:val="2"/>
                <w:sz w:val="13"/>
                <w:szCs w:val="13"/>
                <w:highlight w:val="none"/>
              </w:rPr>
              <w:t xml:space="preserve">    4、各分公司考评填写相应的得（扣）分数值，如奖2分则填写“2”，扣2分则填写“-2”；</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13"/>
                <w:szCs w:val="13"/>
                <w:highlight w:val="none"/>
                <w:lang w:eastAsia="zh-CN"/>
              </w:rPr>
            </w:pPr>
            <w:r>
              <w:rPr>
                <w:rFonts w:hint="eastAsia" w:ascii="宋体" w:hAnsi="宋体" w:eastAsia="宋体" w:cs="宋体"/>
                <w:color w:val="auto"/>
                <w:kern w:val="2"/>
                <w:sz w:val="13"/>
                <w:szCs w:val="13"/>
                <w:highlight w:val="none"/>
              </w:rPr>
              <w:t xml:space="preserve">    5、单项“综合考评”=项目部考评+公司考评；综合考评总分=各单项“综合考评”+100</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13"/>
                <w:szCs w:val="13"/>
                <w:highlight w:val="none"/>
                <w:lang w:eastAsia="zh-CN"/>
              </w:rPr>
            </w:pPr>
            <w:r>
              <w:rPr>
                <w:rFonts w:hint="eastAsia" w:ascii="宋体" w:hAnsi="宋体" w:eastAsia="宋体" w:cs="宋体"/>
                <w:color w:val="auto"/>
                <w:kern w:val="2"/>
                <w:sz w:val="13"/>
                <w:szCs w:val="13"/>
                <w:highlight w:val="none"/>
              </w:rPr>
              <w:t xml:space="preserve">    6、最后得分=综合考评总分X类别系数；</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13"/>
                <w:szCs w:val="13"/>
                <w:highlight w:val="none"/>
              </w:rPr>
            </w:pPr>
            <w:r>
              <w:rPr>
                <w:rFonts w:hint="eastAsia" w:ascii="宋体" w:hAnsi="宋体" w:eastAsia="宋体" w:cs="宋体"/>
                <w:color w:val="auto"/>
                <w:kern w:val="2"/>
                <w:sz w:val="13"/>
                <w:szCs w:val="13"/>
                <w:highlight w:val="none"/>
              </w:rPr>
              <w:t xml:space="preserve">    7、各考评项目具体考评标准内容参照广州市净水有限公司标准《工程项目安全管理规范》（Q/GZJSA 1-2021）执行。 </w:t>
            </w:r>
          </w:p>
          <w:p>
            <w:pPr>
              <w:keepNext w:val="0"/>
              <w:keepLines w:val="0"/>
              <w:widowControl/>
              <w:suppressLineNumbers w:val="0"/>
              <w:spacing w:before="0" w:beforeAutospacing="0" w:after="0" w:afterAutospacing="0"/>
              <w:ind w:left="0" w:right="0" w:firstLine="260" w:firstLineChars="200"/>
              <w:jc w:val="left"/>
              <w:textAlignment w:val="center"/>
              <w:rPr>
                <w:rFonts w:hint="eastAsia" w:ascii="宋体" w:hAnsi="宋体" w:eastAsia="宋体" w:cs="宋体"/>
                <w:color w:val="auto"/>
                <w:kern w:val="2"/>
                <w:sz w:val="13"/>
                <w:szCs w:val="13"/>
                <w:highlight w:val="none"/>
              </w:rPr>
            </w:pPr>
            <w:r>
              <w:rPr>
                <w:rFonts w:hint="eastAsia" w:ascii="宋体" w:hAnsi="宋体" w:eastAsia="宋体" w:cs="宋体"/>
                <w:color w:val="auto"/>
                <w:kern w:val="2"/>
                <w:sz w:val="13"/>
                <w:szCs w:val="13"/>
                <w:highlight w:val="none"/>
              </w:rPr>
              <w:t>8、本处理标准出自《广州净水公司工程项目承包单位质量安全考评细则（试行）》。</w:t>
            </w:r>
          </w:p>
          <w:p>
            <w:pPr>
              <w:pStyle w:val="22"/>
              <w:keepNext w:val="0"/>
              <w:keepLines w:val="0"/>
              <w:widowControl/>
              <w:suppressLineNumbers w:val="0"/>
              <w:spacing w:before="0" w:beforeAutospacing="0" w:afterAutospacing="0"/>
              <w:ind w:right="0" w:firstLine="1126"/>
              <w:rPr>
                <w:rFonts w:hint="eastAsia" w:ascii="宋体" w:hAnsi="宋体" w:eastAsia="宋体" w:cs="宋体"/>
                <w:color w:val="auto"/>
                <w:kern w:val="2"/>
                <w:highlight w:val="none"/>
              </w:rPr>
            </w:pPr>
          </w:p>
        </w:tc>
      </w:tr>
    </w:tbl>
    <w:p>
      <w:pPr>
        <w:rPr>
          <w:rFonts w:hint="eastAsia" w:ascii="宋体" w:hAnsi="宋体" w:eastAsia="宋体" w:cs="宋体"/>
          <w:color w:val="auto"/>
          <w:highlight w:val="none"/>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ascii="宋体" w:hAnsi="宋体" w:cs="宋体"/>
          <w:b/>
          <w:bCs/>
          <w:szCs w:val="21"/>
        </w:rPr>
      </w:pPr>
      <w:r>
        <w:rPr>
          <w:rFonts w:hint="eastAsia" w:ascii="宋体" w:hAnsi="宋体" w:cs="宋体"/>
          <w:b/>
          <w:bCs/>
          <w:szCs w:val="21"/>
        </w:rPr>
        <w:t>附件</w:t>
      </w:r>
      <w:r>
        <w:rPr>
          <w:rFonts w:hint="eastAsia" w:ascii="宋体" w:hAnsi="宋体" w:cs="宋体"/>
          <w:b/>
          <w:bCs/>
          <w:szCs w:val="21"/>
          <w:lang w:val="en-US" w:eastAsia="zh-CN"/>
        </w:rPr>
        <w:t>7</w:t>
      </w:r>
      <w:r>
        <w:rPr>
          <w:rFonts w:hint="eastAsia" w:ascii="宋体" w:hAnsi="宋体" w:cs="宋体"/>
          <w:b/>
          <w:bCs/>
          <w:szCs w:val="21"/>
        </w:rPr>
        <w:t>：履约保函（模板）</w:t>
      </w:r>
    </w:p>
    <w:p>
      <w:pPr>
        <w:jc w:val="center"/>
        <w:rPr>
          <w:rFonts w:asciiTheme="minorEastAsia" w:hAnsiTheme="minorEastAsia" w:eastAsiaTheme="minorEastAsia"/>
          <w:b/>
          <w:sz w:val="24"/>
        </w:rPr>
      </w:pPr>
      <w:r>
        <w:rPr>
          <w:rFonts w:hint="eastAsia" w:asciiTheme="minorEastAsia" w:hAnsiTheme="minorEastAsia" w:eastAsiaTheme="minorEastAsia"/>
          <w:b/>
          <w:sz w:val="24"/>
        </w:rPr>
        <w:t>履约保函模板</w:t>
      </w:r>
    </w:p>
    <w:p>
      <w:pPr>
        <w:rPr>
          <w:rFonts w:asciiTheme="minorEastAsia" w:hAnsiTheme="minorEastAsia" w:eastAsiaTheme="minorEastAsia"/>
          <w:sz w:val="24"/>
        </w:rPr>
      </w:pPr>
    </w:p>
    <w:p>
      <w:pPr>
        <w:rPr>
          <w:rFonts w:asciiTheme="minorEastAsia" w:hAnsiTheme="minorEastAsia" w:eastAsiaTheme="minorEastAsia"/>
          <w:sz w:val="24"/>
        </w:rPr>
      </w:pPr>
      <w:r>
        <w:rPr>
          <w:rFonts w:hint="eastAsia" w:asciiTheme="minorEastAsia" w:hAnsiTheme="minorEastAsia" w:eastAsiaTheme="minorEastAsia"/>
          <w:sz w:val="24"/>
        </w:rPr>
        <w:t>致：</w:t>
      </w:r>
      <w:r>
        <w:rPr>
          <w:rFonts w:hint="eastAsia" w:asciiTheme="minorEastAsia" w:hAnsiTheme="minorEastAsia" w:eastAsiaTheme="minorEastAsia"/>
          <w:sz w:val="24"/>
          <w:u w:val="single"/>
        </w:rPr>
        <w:t xml:space="preserve">               （受益人）</w:t>
      </w:r>
      <w:r>
        <w:rPr>
          <w:rFonts w:asciiTheme="minorEastAsia" w:hAnsiTheme="minorEastAsia" w:eastAsiaTheme="minorEastAsia"/>
          <w:sz w:val="24"/>
        </w:rPr>
        <w:br w:type="textWrapping"/>
      </w:r>
    </w:p>
    <w:p>
      <w:pPr>
        <w:ind w:firstLine="420"/>
        <w:rPr>
          <w:rFonts w:asciiTheme="minorEastAsia" w:hAnsiTheme="minorEastAsia" w:eastAsiaTheme="minorEastAsia"/>
          <w:sz w:val="24"/>
        </w:rPr>
      </w:pPr>
      <w:r>
        <w:rPr>
          <w:rFonts w:hint="eastAsia" w:asciiTheme="minorEastAsia" w:hAnsiTheme="minorEastAsia" w:eastAsiaTheme="minorEastAsia"/>
          <w:sz w:val="24"/>
        </w:rPr>
        <w:t>鉴于（以下简称“委托人”）与贵方于</w:t>
      </w:r>
      <w:r>
        <w:rPr>
          <w:rFonts w:hint="eastAsia" w:asciiTheme="minorEastAsia" w:hAnsiTheme="minorEastAsia" w:eastAsiaTheme="minorEastAsia"/>
          <w:sz w:val="24"/>
          <w:u w:val="single"/>
        </w:rPr>
        <w:t xml:space="preserve">   年  月  日</w:t>
      </w:r>
      <w:r>
        <w:rPr>
          <w:rFonts w:hint="eastAsia" w:asciiTheme="minorEastAsia" w:hAnsiTheme="minorEastAsia" w:eastAsiaTheme="minorEastAsia"/>
          <w:sz w:val="24"/>
        </w:rPr>
        <w:t>签订了（以下简称“合同”），我行同意为委托人出具履约保函，作为委托人履行合同义务的担保，以使你方得到履约保函的保障。本保函为不可撤销，见索即付的独立保函。</w:t>
      </w:r>
    </w:p>
    <w:p>
      <w:pPr>
        <w:ind w:firstLine="420"/>
        <w:rPr>
          <w:rFonts w:asciiTheme="minorEastAsia" w:hAnsiTheme="minorEastAsia" w:eastAsiaTheme="minorEastAsia"/>
          <w:sz w:val="24"/>
        </w:rPr>
      </w:pPr>
      <w:r>
        <w:rPr>
          <w:rFonts w:hint="eastAsia" w:asciiTheme="minorEastAsia" w:hAnsiTheme="minorEastAsia" w:eastAsiaTheme="minorEastAsia"/>
          <w:sz w:val="24"/>
        </w:rPr>
        <w:t>一、我行保证在收到贵单位于保函有效期内送达的依本保函约定的索赔申请后，在个工作日内无条件和不可改变地向贵单位支付最高金额不超过人民币元（大写： ）的履约保证金，并放弃向你方提出任何异议和追索的权利。</w:t>
      </w:r>
    </w:p>
    <w:p>
      <w:pPr>
        <w:ind w:firstLine="420"/>
        <w:rPr>
          <w:rFonts w:asciiTheme="minorEastAsia" w:hAnsiTheme="minorEastAsia" w:eastAsiaTheme="minorEastAsia"/>
          <w:sz w:val="24"/>
        </w:rPr>
      </w:pPr>
      <w:r>
        <w:rPr>
          <w:rFonts w:hint="eastAsia" w:asciiTheme="minorEastAsia" w:hAnsiTheme="minorEastAsia" w:eastAsiaTheme="minorEastAsia"/>
          <w:sz w:val="24"/>
        </w:rPr>
        <w:t>二、贵单位的索赔申请应符合下述条件：</w:t>
      </w:r>
    </w:p>
    <w:p>
      <w:pPr>
        <w:ind w:firstLine="420"/>
        <w:rPr>
          <w:rFonts w:asciiTheme="minorEastAsia" w:hAnsiTheme="minorEastAsia" w:eastAsiaTheme="minorEastAsia"/>
          <w:sz w:val="24"/>
        </w:rPr>
      </w:pPr>
      <w:r>
        <w:rPr>
          <w:rFonts w:hint="eastAsia" w:asciiTheme="minorEastAsia" w:hAnsiTheme="minorEastAsia" w:eastAsiaTheme="minorEastAsia"/>
          <w:sz w:val="24"/>
        </w:rPr>
        <w:t>（一）贵单位法定代表人或其授权代表签字并加盖单位公章；</w:t>
      </w:r>
    </w:p>
    <w:p>
      <w:pPr>
        <w:ind w:firstLine="420"/>
        <w:rPr>
          <w:rFonts w:asciiTheme="minorEastAsia" w:hAnsiTheme="minorEastAsia" w:eastAsiaTheme="minorEastAsia"/>
          <w:sz w:val="24"/>
        </w:rPr>
      </w:pPr>
      <w:r>
        <w:rPr>
          <w:rFonts w:hint="eastAsia" w:asciiTheme="minorEastAsia" w:hAnsiTheme="minorEastAsia" w:eastAsiaTheme="minorEastAsia"/>
          <w:sz w:val="24"/>
        </w:rPr>
        <w:t>（二）在保函有效期内送达我行；</w:t>
      </w:r>
    </w:p>
    <w:p>
      <w:pPr>
        <w:ind w:firstLine="420"/>
        <w:rPr>
          <w:rFonts w:asciiTheme="minorEastAsia" w:hAnsiTheme="minorEastAsia" w:eastAsiaTheme="minorEastAsia"/>
          <w:sz w:val="24"/>
        </w:rPr>
      </w:pPr>
      <w:r>
        <w:rPr>
          <w:rFonts w:hint="eastAsia" w:asciiTheme="minorEastAsia" w:hAnsiTheme="minorEastAsia" w:eastAsiaTheme="minorEastAsia"/>
          <w:sz w:val="24"/>
        </w:rPr>
        <w:t>（三）明确的索赔金额（不得超过本保函第一条所列之限额）。</w:t>
      </w:r>
    </w:p>
    <w:p>
      <w:pPr>
        <w:ind w:firstLine="420"/>
        <w:rPr>
          <w:rFonts w:asciiTheme="minorEastAsia" w:hAnsiTheme="minorEastAsia" w:eastAsiaTheme="minorEastAsia"/>
          <w:sz w:val="24"/>
        </w:rPr>
      </w:pPr>
      <w:r>
        <w:rPr>
          <w:rFonts w:hint="eastAsia" w:asciiTheme="minorEastAsia" w:hAnsiTheme="minorEastAsia" w:eastAsiaTheme="minorEastAsia"/>
          <w:sz w:val="24"/>
        </w:rPr>
        <w:t>三、本保函自签发之日起生效，有效期至</w:t>
      </w:r>
      <w:r>
        <w:rPr>
          <w:rFonts w:hint="eastAsia" w:asciiTheme="minorEastAsia" w:hAnsiTheme="minorEastAsia" w:eastAsiaTheme="minorEastAsia"/>
          <w:sz w:val="24"/>
          <w:u w:val="single"/>
        </w:rPr>
        <w:t xml:space="preserve">  年  月  日</w:t>
      </w:r>
      <w:r>
        <w:rPr>
          <w:rFonts w:hint="eastAsia" w:asciiTheme="minorEastAsia" w:hAnsiTheme="minorEastAsia" w:eastAsiaTheme="minorEastAsia"/>
          <w:sz w:val="24"/>
        </w:rPr>
        <w:t>。本保函于下述任一事项发生之时立即失效，我行在本保函项下的保证义务即刻解除：</w:t>
      </w:r>
    </w:p>
    <w:p>
      <w:pPr>
        <w:ind w:firstLine="420"/>
        <w:rPr>
          <w:rFonts w:asciiTheme="minorEastAsia" w:hAnsiTheme="minorEastAsia" w:eastAsiaTheme="minorEastAsia"/>
          <w:sz w:val="24"/>
        </w:rPr>
      </w:pPr>
      <w:r>
        <w:rPr>
          <w:rFonts w:hint="eastAsia" w:asciiTheme="minorEastAsia" w:hAnsiTheme="minorEastAsia" w:eastAsiaTheme="minorEastAsia"/>
          <w:sz w:val="24"/>
        </w:rPr>
        <w:t>（一）本保函有效期限届满；</w:t>
      </w:r>
    </w:p>
    <w:p>
      <w:pPr>
        <w:ind w:firstLine="420"/>
        <w:rPr>
          <w:rFonts w:asciiTheme="minorEastAsia" w:hAnsiTheme="minorEastAsia" w:eastAsiaTheme="minorEastAsia"/>
          <w:sz w:val="24"/>
        </w:rPr>
      </w:pPr>
      <w:r>
        <w:rPr>
          <w:rFonts w:hint="eastAsia" w:asciiTheme="minorEastAsia" w:hAnsiTheme="minorEastAsia" w:eastAsiaTheme="minorEastAsia"/>
          <w:sz w:val="24"/>
        </w:rPr>
        <w:t>（二）我行保证的义务履行完毕。</w:t>
      </w:r>
    </w:p>
    <w:p>
      <w:pPr>
        <w:ind w:firstLine="420"/>
        <w:rPr>
          <w:rFonts w:asciiTheme="minorEastAsia" w:hAnsiTheme="minorEastAsia" w:eastAsiaTheme="minorEastAsia"/>
          <w:sz w:val="24"/>
        </w:rPr>
      </w:pPr>
      <w:r>
        <w:rPr>
          <w:rFonts w:hint="eastAsia" w:asciiTheme="minorEastAsia" w:hAnsiTheme="minorEastAsia" w:eastAsiaTheme="minorEastAsia"/>
          <w:sz w:val="24"/>
        </w:rPr>
        <w:t>四、我方受本保函制约的责任是延续的、独立的和无条件的，上述合同的任何修改、变更、解释、不可执行或委托人在合同项下对你方的任何抗辩都不能削弱或影响我行按本保函应承担的责任。</w:t>
      </w:r>
    </w:p>
    <w:p>
      <w:pPr>
        <w:ind w:firstLine="420"/>
        <w:rPr>
          <w:rFonts w:asciiTheme="minorEastAsia" w:hAnsiTheme="minorEastAsia" w:eastAsiaTheme="minorEastAsia"/>
          <w:sz w:val="24"/>
        </w:rPr>
      </w:pPr>
      <w:r>
        <w:rPr>
          <w:rFonts w:hint="eastAsia" w:asciiTheme="minorEastAsia" w:hAnsiTheme="minorEastAsia" w:eastAsiaTheme="minorEastAsia"/>
          <w:sz w:val="24"/>
        </w:rPr>
        <w:t>五、我行向你方支付索赔金额后，本保函担保金额即按贵方通知的索赔金额予以递减。</w:t>
      </w:r>
    </w:p>
    <w:p>
      <w:pPr>
        <w:ind w:firstLine="420"/>
        <w:rPr>
          <w:rFonts w:asciiTheme="minorEastAsia" w:hAnsiTheme="minorEastAsia" w:eastAsiaTheme="minorEastAsia"/>
          <w:sz w:val="24"/>
        </w:rPr>
      </w:pPr>
      <w:r>
        <w:rPr>
          <w:rFonts w:hint="eastAsia" w:asciiTheme="minorEastAsia" w:hAnsiTheme="minorEastAsia" w:eastAsiaTheme="minorEastAsia"/>
          <w:sz w:val="24"/>
        </w:rPr>
        <w:t>六、保函失效后请将保函退回我行注销，无论正本最终退回与否，不影响本保函依上述约定自动失效。</w:t>
      </w:r>
    </w:p>
    <w:p>
      <w:pPr>
        <w:ind w:firstLine="420"/>
        <w:rPr>
          <w:rFonts w:asciiTheme="minorEastAsia" w:hAnsiTheme="minorEastAsia" w:eastAsiaTheme="minorEastAsia"/>
          <w:sz w:val="24"/>
        </w:rPr>
      </w:pPr>
    </w:p>
    <w:p>
      <w:pPr>
        <w:ind w:firstLine="420"/>
        <w:rPr>
          <w:rFonts w:asciiTheme="minorEastAsia" w:hAnsiTheme="minorEastAsia" w:eastAsiaTheme="minorEastAsia"/>
          <w:sz w:val="24"/>
        </w:rPr>
      </w:pPr>
    </w:p>
    <w:p>
      <w:pPr>
        <w:ind w:firstLine="420"/>
        <w:rPr>
          <w:rFonts w:asciiTheme="minorEastAsia" w:hAnsiTheme="minorEastAsia" w:eastAsiaTheme="minorEastAsia"/>
          <w:sz w:val="24"/>
        </w:rPr>
      </w:pPr>
      <w:r>
        <w:rPr>
          <w:rFonts w:hint="eastAsia" w:asciiTheme="minorEastAsia" w:hAnsiTheme="minorEastAsia" w:eastAsiaTheme="minorEastAsia"/>
          <w:sz w:val="24"/>
        </w:rPr>
        <w:t xml:space="preserve">                                                   落款</w:t>
      </w:r>
    </w:p>
    <w:p>
      <w:pPr>
        <w:ind w:firstLine="420"/>
        <w:rPr>
          <w:rFonts w:asciiTheme="minorEastAsia" w:hAnsiTheme="minorEastAsia" w:eastAsiaTheme="minorEastAsia"/>
          <w:sz w:val="24"/>
        </w:rPr>
      </w:pPr>
    </w:p>
    <w:p>
      <w:pPr>
        <w:ind w:firstLine="645"/>
        <w:rPr>
          <w:rFonts w:asciiTheme="minorEastAsia" w:hAnsiTheme="minorEastAsia" w:eastAsiaTheme="minorEastAsia"/>
          <w:sz w:val="24"/>
        </w:rPr>
      </w:pPr>
      <w:r>
        <w:rPr>
          <w:rFonts w:hint="eastAsia" w:asciiTheme="minorEastAsia" w:hAnsiTheme="minorEastAsia" w:eastAsiaTheme="minorEastAsia"/>
          <w:sz w:val="24"/>
        </w:rPr>
        <w:t>保函说明：</w:t>
      </w:r>
    </w:p>
    <w:p>
      <w:pPr>
        <w:ind w:firstLine="645"/>
        <w:rPr>
          <w:rFonts w:cs="仿宋_GB2312" w:asciiTheme="minorEastAsia" w:hAnsiTheme="minorEastAsia" w:eastAsiaTheme="minorEastAsia"/>
          <w:sz w:val="24"/>
        </w:rPr>
      </w:pPr>
      <w:r>
        <w:rPr>
          <w:rFonts w:hint="eastAsia" w:cs="仿宋_GB2312" w:asciiTheme="minorEastAsia" w:hAnsiTheme="minorEastAsia" w:eastAsiaTheme="minorEastAsia"/>
          <w:sz w:val="24"/>
        </w:rPr>
        <w:t>保函不得有下列或类似含义的表述：</w:t>
      </w:r>
    </w:p>
    <w:p>
      <w:pPr>
        <w:ind w:firstLine="645"/>
        <w:rPr>
          <w:rFonts w:cs="仿宋_GB2312" w:asciiTheme="minorEastAsia" w:hAnsiTheme="minorEastAsia" w:eastAsiaTheme="minorEastAsia"/>
          <w:sz w:val="24"/>
        </w:rPr>
      </w:pPr>
      <w:r>
        <w:rPr>
          <w:rFonts w:hint="eastAsia" w:cs="仿宋_GB2312" w:asciiTheme="minorEastAsia" w:hAnsiTheme="minorEastAsia" w:eastAsiaTheme="minorEastAsia"/>
          <w:sz w:val="24"/>
        </w:rPr>
        <w:t>1.银行承担的为连带责任保证、一般保证。</w:t>
      </w:r>
    </w:p>
    <w:p>
      <w:pPr>
        <w:ind w:firstLine="645"/>
        <w:rPr>
          <w:rFonts w:cs="仿宋_GB2312" w:asciiTheme="minorEastAsia" w:hAnsiTheme="minorEastAsia" w:eastAsiaTheme="minorEastAsia"/>
          <w:sz w:val="24"/>
        </w:rPr>
      </w:pPr>
      <w:r>
        <w:rPr>
          <w:rFonts w:hint="eastAsia" w:cs="仿宋_GB2312" w:asciiTheme="minorEastAsia" w:hAnsiTheme="minorEastAsia" w:eastAsiaTheme="minorEastAsia"/>
          <w:sz w:val="24"/>
        </w:rPr>
        <w:t>2.未经银行书面同意，受益人与申请人修改合同或其项下附件时，银行的保证义务解除。</w:t>
      </w:r>
    </w:p>
    <w:p>
      <w:pPr>
        <w:ind w:firstLine="645"/>
        <w:rPr>
          <w:rFonts w:cs="仿宋_GB2312" w:asciiTheme="minorEastAsia" w:hAnsiTheme="minorEastAsia" w:eastAsiaTheme="minorEastAsia"/>
          <w:sz w:val="24"/>
        </w:rPr>
      </w:pPr>
      <w:r>
        <w:rPr>
          <w:rFonts w:hint="eastAsia" w:cs="仿宋_GB2312" w:asciiTheme="minorEastAsia" w:hAnsiTheme="minorEastAsia" w:eastAsiaTheme="minorEastAsia"/>
          <w:sz w:val="24"/>
        </w:rPr>
        <w:t>3.合同撤销或无效的，保函失效。</w:t>
      </w:r>
    </w:p>
    <w:p>
      <w:pPr>
        <w:ind w:firstLine="645"/>
        <w:rPr>
          <w:rFonts w:cs="仿宋_GB2312" w:asciiTheme="minorEastAsia" w:hAnsiTheme="minorEastAsia" w:eastAsiaTheme="minorEastAsia"/>
          <w:sz w:val="24"/>
        </w:rPr>
      </w:pPr>
      <w:r>
        <w:rPr>
          <w:rFonts w:hint="eastAsia" w:cs="仿宋_GB2312" w:asciiTheme="minorEastAsia" w:hAnsiTheme="minorEastAsia" w:eastAsiaTheme="minorEastAsia"/>
          <w:sz w:val="24"/>
        </w:rPr>
        <w:t>4.申请人对受益人的抗辩，银行有权向受益人主张。</w:t>
      </w:r>
    </w:p>
    <w:p>
      <w:pPr>
        <w:ind w:firstLine="645"/>
        <w:rPr>
          <w:rFonts w:asciiTheme="minorEastAsia" w:hAnsiTheme="minorEastAsia" w:eastAsiaTheme="minorEastAsia"/>
          <w:sz w:val="24"/>
        </w:rPr>
      </w:pPr>
      <w:r>
        <w:rPr>
          <w:rFonts w:hint="eastAsia" w:cs="仿宋_GB2312" w:asciiTheme="minorEastAsia" w:hAnsiTheme="minorEastAsia" w:eastAsiaTheme="minorEastAsia"/>
          <w:sz w:val="24"/>
        </w:rPr>
        <w:t>5.受益人请求付款的请款单据包含法院裁判文书、仲裁裁决、第三方单位出具的鉴定书等申请人违约的证明材料。</w:t>
      </w:r>
    </w:p>
    <w:p>
      <w:pPr>
        <w:spacing w:line="360" w:lineRule="auto"/>
        <w:rPr>
          <w:rFonts w:hint="eastAsia" w:ascii="宋体" w:hAnsi="宋体" w:cs="宋体"/>
          <w:b/>
          <w:bCs/>
          <w:szCs w:val="21"/>
          <w:lang w:val="en-US" w:eastAsia="zh-CN"/>
        </w:rPr>
      </w:pPr>
    </w:p>
    <w:p>
      <w:pPr>
        <w:spacing w:line="360" w:lineRule="auto"/>
        <w:rPr>
          <w:rFonts w:hint="default" w:ascii="宋体" w:hAnsi="宋体" w:cs="宋体"/>
          <w:b/>
          <w:bCs/>
          <w:szCs w:val="21"/>
          <w:lang w:val="en-US" w:eastAsia="zh-CN"/>
        </w:rPr>
      </w:pPr>
      <w:r>
        <w:rPr>
          <w:rFonts w:hint="eastAsia" w:ascii="宋体" w:hAnsi="宋体" w:cs="宋体"/>
          <w:b/>
          <w:bCs/>
          <w:szCs w:val="21"/>
          <w:lang w:val="en-US" w:eastAsia="zh-CN"/>
        </w:rPr>
        <w:t>附件8.项目投入人员架构表</w:t>
      </w:r>
    </w:p>
    <w:tbl>
      <w:tblPr>
        <w:tblStyle w:val="23"/>
        <w:tblW w:w="90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7"/>
        <w:gridCol w:w="864"/>
        <w:gridCol w:w="908"/>
        <w:gridCol w:w="2312"/>
        <w:gridCol w:w="2511"/>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59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岗位</w:t>
            </w:r>
          </w:p>
        </w:tc>
        <w:tc>
          <w:tcPr>
            <w:tcW w:w="8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姓名</w:t>
            </w:r>
          </w:p>
        </w:tc>
        <w:tc>
          <w:tcPr>
            <w:tcW w:w="9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性别</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身份证号</w:t>
            </w:r>
          </w:p>
        </w:tc>
        <w:tc>
          <w:tcPr>
            <w:tcW w:w="25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执业或职业资格证明</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59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项目负责人</w:t>
            </w:r>
          </w:p>
        </w:tc>
        <w:tc>
          <w:tcPr>
            <w:tcW w:w="8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9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23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25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59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eastAsia="宋体" w:cs="宋体"/>
                <w:color w:val="auto"/>
                <w:sz w:val="24"/>
                <w:szCs w:val="24"/>
                <w:highlight w:val="none"/>
              </w:rPr>
              <w:t>安全员</w:t>
            </w:r>
          </w:p>
        </w:tc>
        <w:tc>
          <w:tcPr>
            <w:tcW w:w="8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9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23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25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59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现场</w:t>
            </w:r>
            <w:r>
              <w:rPr>
                <w:rFonts w:hint="eastAsia" w:ascii="宋体" w:hAnsi="宋体" w:eastAsia="宋体" w:cs="宋体"/>
                <w:color w:val="auto"/>
                <w:sz w:val="24"/>
                <w:szCs w:val="24"/>
                <w:highlight w:val="none"/>
              </w:rPr>
              <w:t>负责人</w:t>
            </w:r>
          </w:p>
        </w:tc>
        <w:tc>
          <w:tcPr>
            <w:tcW w:w="8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9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23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25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r>
    </w:tbl>
    <w:p>
      <w:pPr>
        <w:rPr>
          <w:rFonts w:cs="仿宋_GB2312" w:asciiTheme="minorEastAsia" w:hAnsiTheme="minorEastAsia" w:eastAsiaTheme="minorEastAsia"/>
          <w:sz w:val="24"/>
        </w:rPr>
      </w:pPr>
    </w:p>
    <w:p>
      <w:pPr>
        <w:rPr>
          <w:rFonts w:cs="仿宋_GB2312" w:asciiTheme="minorEastAsia" w:hAnsiTheme="minorEastAsia" w:eastAsiaTheme="minorEastAsia"/>
          <w:sz w:val="24"/>
        </w:rPr>
      </w:pPr>
    </w:p>
    <w:p>
      <w:pPr>
        <w:pStyle w:val="46"/>
        <w:rPr>
          <w:rFonts w:cs="仿宋_GB2312" w:asciiTheme="minorEastAsia" w:hAnsiTheme="minorEastAsia" w:eastAsiaTheme="minorEastAsia"/>
          <w:sz w:val="24"/>
        </w:rPr>
      </w:pPr>
    </w:p>
    <w:p>
      <w:pPr>
        <w:pStyle w:val="46"/>
        <w:rPr>
          <w:rFonts w:cs="仿宋_GB2312" w:asciiTheme="minorEastAsia" w:hAnsiTheme="minorEastAsia" w:eastAsiaTheme="minorEastAsia"/>
          <w:sz w:val="24"/>
        </w:rPr>
      </w:pPr>
    </w:p>
    <w:p>
      <w:pPr>
        <w:pStyle w:val="46"/>
        <w:rPr>
          <w:rFonts w:cs="仿宋_GB2312" w:asciiTheme="minorEastAsia" w:hAnsiTheme="minorEastAsia" w:eastAsiaTheme="minorEastAsia"/>
          <w:sz w:val="24"/>
        </w:rPr>
      </w:pPr>
    </w:p>
    <w:p>
      <w:pPr>
        <w:pStyle w:val="46"/>
        <w:rPr>
          <w:rFonts w:cs="仿宋_GB2312" w:asciiTheme="minorEastAsia" w:hAnsiTheme="minorEastAsia" w:eastAsiaTheme="minorEastAsia"/>
          <w:sz w:val="24"/>
        </w:rPr>
      </w:pPr>
    </w:p>
    <w:p>
      <w:pPr>
        <w:pStyle w:val="46"/>
        <w:rPr>
          <w:rFonts w:cs="仿宋_GB2312" w:asciiTheme="minorEastAsia" w:hAnsiTheme="minorEastAsia" w:eastAsiaTheme="minorEastAsia"/>
          <w:sz w:val="24"/>
        </w:rPr>
      </w:pPr>
    </w:p>
    <w:p>
      <w:pPr>
        <w:pStyle w:val="46"/>
        <w:rPr>
          <w:rFonts w:cs="仿宋_GB2312" w:asciiTheme="minorEastAsia" w:hAnsiTheme="minorEastAsia" w:eastAsiaTheme="minorEastAsia"/>
          <w:sz w:val="24"/>
        </w:rPr>
      </w:pPr>
    </w:p>
    <w:p>
      <w:pPr>
        <w:pStyle w:val="46"/>
        <w:rPr>
          <w:rFonts w:cs="仿宋_GB2312" w:asciiTheme="minorEastAsia" w:hAnsiTheme="minorEastAsia" w:eastAsiaTheme="minorEastAsia"/>
          <w:sz w:val="24"/>
        </w:rPr>
      </w:pPr>
    </w:p>
    <w:p>
      <w:pPr>
        <w:pStyle w:val="46"/>
        <w:rPr>
          <w:rFonts w:cs="仿宋_GB2312" w:asciiTheme="minorEastAsia" w:hAnsiTheme="minorEastAsia" w:eastAsiaTheme="minorEastAsia"/>
          <w:sz w:val="24"/>
        </w:rPr>
      </w:pPr>
    </w:p>
    <w:p>
      <w:pPr>
        <w:pStyle w:val="46"/>
        <w:rPr>
          <w:rFonts w:cs="仿宋_GB2312" w:asciiTheme="minorEastAsia" w:hAnsiTheme="minorEastAsia" w:eastAsiaTheme="minorEastAsia"/>
          <w:sz w:val="24"/>
        </w:rPr>
      </w:pPr>
    </w:p>
    <w:p>
      <w:pPr>
        <w:pStyle w:val="46"/>
        <w:rPr>
          <w:rFonts w:cs="仿宋_GB2312" w:asciiTheme="minorEastAsia" w:hAnsiTheme="minorEastAsia" w:eastAsiaTheme="minorEastAsia"/>
          <w:sz w:val="24"/>
        </w:rPr>
      </w:pPr>
    </w:p>
    <w:p>
      <w:pPr>
        <w:pStyle w:val="46"/>
        <w:rPr>
          <w:rFonts w:cs="仿宋_GB2312" w:asciiTheme="minorEastAsia" w:hAnsiTheme="minorEastAsia" w:eastAsiaTheme="minorEastAsia"/>
          <w:sz w:val="24"/>
        </w:rPr>
      </w:pPr>
    </w:p>
    <w:p>
      <w:pPr>
        <w:pStyle w:val="46"/>
        <w:rPr>
          <w:rFonts w:cs="仿宋_GB2312" w:asciiTheme="minorEastAsia" w:hAnsiTheme="minorEastAsia" w:eastAsiaTheme="minorEastAsia"/>
          <w:sz w:val="24"/>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rPr>
        <w:t>附件</w:t>
      </w:r>
      <w:r>
        <w:rPr>
          <w:rFonts w:hint="eastAsia" w:ascii="宋体" w:hAnsi="宋体" w:eastAsia="宋体" w:cs="宋体"/>
          <w:b/>
          <w:color w:val="auto"/>
          <w:szCs w:val="21"/>
          <w:highlight w:val="none"/>
          <w:lang w:val="en-US" w:eastAsia="zh-CN"/>
        </w:rPr>
        <w:t>9</w:t>
      </w:r>
      <w:r>
        <w:rPr>
          <w:rFonts w:hint="eastAsia" w:ascii="宋体" w:hAnsi="宋体" w:eastAsia="宋体" w:cs="宋体"/>
          <w:b/>
          <w:color w:val="auto"/>
          <w:szCs w:val="21"/>
          <w:highlight w:val="none"/>
        </w:rPr>
        <w:t>：</w:t>
      </w:r>
      <w:r>
        <w:rPr>
          <w:rFonts w:hint="eastAsia" w:ascii="宋体" w:hAnsi="宋体" w:eastAsia="宋体" w:cs="宋体"/>
          <w:b/>
          <w:color w:val="auto"/>
          <w:szCs w:val="21"/>
          <w:highlight w:val="none"/>
          <w:lang w:val="en-US" w:eastAsia="zh-CN"/>
        </w:rPr>
        <w:t>净水公司廉洁监督举报受理范围及途径告知书</w:t>
      </w:r>
    </w:p>
    <w:p>
      <w:pPr>
        <w:rPr>
          <w:rFonts w:hint="eastAsia" w:ascii="宋体" w:hAnsi="宋体" w:eastAsia="宋体" w:cs="宋体"/>
          <w:b/>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穗净水</w:t>
      </w:r>
      <w:r>
        <w:rPr>
          <w:rFonts w:hint="eastAsia" w:ascii="宋体" w:hAnsi="宋体" w:eastAsia="宋体" w:cs="宋体"/>
          <w:color w:val="auto"/>
          <w:sz w:val="28"/>
          <w:szCs w:val="28"/>
          <w:highlight w:val="none"/>
          <w:u w:val="none"/>
          <w:lang w:val="en-US" w:eastAsia="zh-CN"/>
        </w:rPr>
        <w:t>（从化）</w:t>
      </w:r>
      <w:r>
        <w:rPr>
          <w:rFonts w:hint="eastAsia" w:ascii="宋体" w:hAnsi="宋体" w:eastAsia="宋体" w:cs="宋体"/>
          <w:color w:val="auto"/>
          <w:sz w:val="28"/>
          <w:szCs w:val="28"/>
          <w:highlight w:val="none"/>
          <w:lang w:val="en-US" w:eastAsia="zh-CN"/>
        </w:rPr>
        <w:t>告知〔2024〕第   号</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宋体" w:hAnsi="宋体" w:eastAsia="宋体" w:cs="宋体"/>
          <w:color w:val="auto"/>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44"/>
          <w:szCs w:val="44"/>
          <w:highlight w:val="none"/>
          <w:lang w:val="en-US" w:eastAsia="zh-CN"/>
        </w:rPr>
      </w:pPr>
      <w:r>
        <w:rPr>
          <w:rFonts w:hint="eastAsia" w:ascii="宋体" w:hAnsi="宋体" w:eastAsia="宋体" w:cs="宋体"/>
          <w:color w:val="auto"/>
          <w:sz w:val="44"/>
          <w:szCs w:val="44"/>
          <w:highlight w:val="none"/>
          <w:lang w:val="en-US" w:eastAsia="zh-CN"/>
        </w:rPr>
        <w:t>净水公司廉洁监督举报受理范围及途径</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44"/>
          <w:szCs w:val="44"/>
          <w:highlight w:val="none"/>
          <w:lang w:val="en-US" w:eastAsia="zh-CN"/>
        </w:rPr>
      </w:pPr>
      <w:r>
        <w:rPr>
          <w:rFonts w:hint="eastAsia" w:ascii="宋体" w:hAnsi="宋体" w:eastAsia="宋体" w:cs="宋体"/>
          <w:color w:val="auto"/>
          <w:sz w:val="44"/>
          <w:szCs w:val="44"/>
          <w:highlight w:val="none"/>
          <w:lang w:val="en-US" w:eastAsia="zh-CN"/>
        </w:rPr>
        <w:t>告知书</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供应商（名称）：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为进一步</w:t>
      </w:r>
      <w:r>
        <w:rPr>
          <w:rFonts w:hint="eastAsia" w:ascii="宋体" w:hAnsi="宋体" w:eastAsia="宋体" w:cs="宋体"/>
          <w:color w:val="auto"/>
          <w:sz w:val="32"/>
          <w:szCs w:val="32"/>
          <w:highlight w:val="none"/>
        </w:rPr>
        <w:t>营造</w:t>
      </w:r>
      <w:r>
        <w:rPr>
          <w:rFonts w:hint="eastAsia" w:ascii="宋体" w:hAnsi="宋体" w:eastAsia="宋体" w:cs="宋体"/>
          <w:color w:val="auto"/>
          <w:sz w:val="32"/>
          <w:szCs w:val="32"/>
          <w:highlight w:val="none"/>
          <w:lang w:val="en-US" w:eastAsia="zh-CN"/>
        </w:rPr>
        <w:t>我公司</w:t>
      </w:r>
      <w:r>
        <w:rPr>
          <w:rFonts w:hint="eastAsia" w:ascii="宋体" w:hAnsi="宋体" w:eastAsia="宋体" w:cs="宋体"/>
          <w:color w:val="auto"/>
          <w:sz w:val="32"/>
          <w:szCs w:val="32"/>
          <w:highlight w:val="none"/>
        </w:rPr>
        <w:t>“攻坚克难、干净干事、廉洁从业”的良好</w:t>
      </w:r>
      <w:r>
        <w:rPr>
          <w:rFonts w:hint="eastAsia" w:ascii="宋体" w:hAnsi="宋体" w:eastAsia="宋体" w:cs="宋体"/>
          <w:color w:val="auto"/>
          <w:sz w:val="32"/>
          <w:szCs w:val="32"/>
          <w:highlight w:val="none"/>
          <w:lang w:val="en-US" w:eastAsia="zh-CN"/>
        </w:rPr>
        <w:t>营商环境，贵公司作为</w:t>
      </w:r>
      <w:r>
        <w:rPr>
          <w:rFonts w:hint="eastAsia" w:ascii="宋体" w:hAnsi="宋体" w:eastAsia="宋体" w:cs="宋体"/>
          <w:color w:val="auto"/>
          <w:sz w:val="32"/>
          <w:szCs w:val="32"/>
          <w:highlight w:val="none"/>
          <w:u w:val="single"/>
          <w:lang w:val="en-US" w:eastAsia="zh-CN"/>
        </w:rPr>
        <w:t>从化公司2024年太平厂硫酸铝加药间改造项目</w:t>
      </w:r>
      <w:r>
        <w:rPr>
          <w:rFonts w:hint="eastAsia" w:ascii="宋体" w:hAnsi="宋体" w:eastAsia="宋体" w:cs="宋体"/>
          <w:color w:val="auto"/>
          <w:sz w:val="32"/>
          <w:szCs w:val="32"/>
          <w:highlight w:val="none"/>
          <w:lang w:val="en-US" w:eastAsia="zh-CN"/>
        </w:rPr>
        <w:t>（合同编号：</w:t>
      </w:r>
      <w:r>
        <w:rPr>
          <w:rFonts w:hint="eastAsia" w:ascii="宋体" w:hAnsi="宋体" w:eastAsia="宋体" w:cs="宋体"/>
          <w:color w:val="auto"/>
          <w:sz w:val="32"/>
          <w:szCs w:val="32"/>
          <w:highlight w:val="none"/>
          <w:u w:val="single"/>
          <w:lang w:val="en-US" w:eastAsia="zh-CN"/>
        </w:rPr>
        <w:t>穗从化净水合[2024]   号</w:t>
      </w:r>
      <w:r>
        <w:rPr>
          <w:rFonts w:hint="eastAsia" w:ascii="宋体" w:hAnsi="宋体" w:eastAsia="宋体" w:cs="宋体"/>
          <w:color w:val="auto"/>
          <w:sz w:val="32"/>
          <w:szCs w:val="32"/>
          <w:highlight w:val="none"/>
          <w:lang w:val="en-US" w:eastAsia="zh-CN"/>
        </w:rPr>
        <w:t>）（项目编码：</w:t>
      </w:r>
      <w:r>
        <w:rPr>
          <w:rFonts w:hint="eastAsia" w:ascii="宋体" w:hAnsi="宋体" w:eastAsia="宋体" w:cs="宋体"/>
          <w:color w:val="auto"/>
          <w:sz w:val="32"/>
          <w:szCs w:val="32"/>
          <w:highlight w:val="none"/>
          <w:u w:val="single"/>
          <w:lang w:val="en-US" w:eastAsia="zh-CN"/>
        </w:rPr>
        <w:t>02222024000002</w:t>
      </w:r>
      <w:r>
        <w:rPr>
          <w:rFonts w:hint="eastAsia" w:ascii="宋体" w:hAnsi="宋体" w:eastAsia="宋体" w:cs="宋体"/>
          <w:color w:val="auto"/>
          <w:sz w:val="32"/>
          <w:szCs w:val="32"/>
          <w:highlight w:val="none"/>
          <w:lang w:val="en-US" w:eastAsia="zh-CN"/>
        </w:rPr>
        <w:t>）的实施单位，现将我公司廉洁监督举报受理范围及途径告知你方：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一、廉洁监督举报受理范围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1.党组织、党员违反政治纪律、组织纪律、廉洁纪律、群众纪律、工作纪律、生活纪律等党的纪律行为。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2.我公司工作人员不依法依规履职，违反秉公用权、廉洁从政从业以及道德操守等规定。（如：索贿受贿、工作不作为乱作为、接受你方宴请）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二、廉洁监督举报途径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1.举报电话：020-38890265</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（工作时间：周一至周五8：30-17：30）</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2.举报电子邮箱：gzjs_jw@163.com</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3.举报信件邮寄地址：广州市天河区临江大道501号广州净水公司纪检室。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三、我公司提倡、鼓励实名举报（请填写真实姓名、身份证号和准确联系方式等内容）。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四、项目廉洁情况后评价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请贵公司在完成现场实施工作后，扫描下图二维码，对我公司工作人员廉洁从业情况进行评价。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48"/>
          <w:szCs w:val="52"/>
          <w:highlight w:val="none"/>
        </w:rPr>
      </w:pPr>
      <w:r>
        <w:rPr>
          <w:rFonts w:hint="eastAsia" w:ascii="宋体" w:hAnsi="宋体" w:eastAsia="宋体" w:cs="宋体"/>
          <w:color w:val="auto"/>
          <w:sz w:val="48"/>
          <w:szCs w:val="52"/>
          <w:highlight w:val="none"/>
        </w:rPr>
        <w:drawing>
          <wp:inline distT="0" distB="0" distL="114300" distR="114300">
            <wp:extent cx="1141730" cy="1141730"/>
            <wp:effectExtent l="0" t="0" r="127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1141730" cy="114173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48"/>
          <w:szCs w:val="5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实施单位项目负责人（盖章）：</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textAlignment w:val="auto"/>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广州市净水有限公司</w:t>
      </w: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textAlignment w:val="auto"/>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分（子）公司（盖章）</w:t>
      </w:r>
    </w:p>
    <w:p>
      <w:pPr>
        <w:keepNext w:val="0"/>
        <w:keepLines w:val="0"/>
        <w:pageBreakBefore w:val="0"/>
        <w:widowControl w:val="0"/>
        <w:kinsoku/>
        <w:wordWrap/>
        <w:overflowPunct/>
        <w:topLinePunct w:val="0"/>
        <w:autoSpaceDE/>
        <w:autoSpaceDN/>
        <w:bidi w:val="0"/>
        <w:adjustRightInd/>
        <w:snapToGrid/>
        <w:spacing w:line="240" w:lineRule="auto"/>
        <w:ind w:firstLine="4480" w:firstLineChars="1400"/>
        <w:textAlignment w:val="auto"/>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2024 年  月  日</w:t>
      </w:r>
    </w:p>
    <w:p>
      <w:pPr>
        <w:keepNext w:val="0"/>
        <w:keepLines w:val="0"/>
        <w:pageBreakBefore w:val="0"/>
        <w:widowControl w:val="0"/>
        <w:kinsoku/>
        <w:wordWrap/>
        <w:overflowPunct/>
        <w:topLinePunct w:val="0"/>
        <w:autoSpaceDE/>
        <w:autoSpaceDN/>
        <w:bidi w:val="0"/>
        <w:adjustRightInd/>
        <w:snapToGrid/>
        <w:spacing w:line="240" w:lineRule="auto"/>
        <w:ind w:firstLine="4480" w:firstLineChars="1400"/>
        <w:textAlignment w:val="auto"/>
        <w:rPr>
          <w:rFonts w:hint="eastAsia" w:ascii="宋体" w:hAnsi="宋体" w:eastAsia="宋体" w:cs="宋体"/>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8"/>
          <w:szCs w:val="28"/>
          <w:highlight w:val="none"/>
        </w:rPr>
        <w:sectPr>
          <w:pgSz w:w="11906" w:h="16838"/>
          <w:pgMar w:top="2098" w:right="1474" w:bottom="1985" w:left="1588" w:header="851" w:footer="992" w:gutter="0"/>
          <w:pgBorders>
            <w:top w:val="none" w:sz="0" w:space="0"/>
            <w:left w:val="none" w:sz="0" w:space="0"/>
            <w:bottom w:val="none" w:sz="0" w:space="0"/>
            <w:right w:val="none" w:sz="0" w:space="0"/>
          </w:pgBorders>
          <w:pgNumType w:fmt="decimal" w:start="0"/>
          <w:cols w:space="425" w:num="1"/>
          <w:titlePg/>
          <w:docGrid w:type="lines" w:linePitch="312" w:charSpace="0"/>
        </w:sectPr>
      </w:pPr>
      <w:r>
        <w:rPr>
          <w:rFonts w:hint="eastAsia" w:ascii="宋体" w:hAnsi="宋体" w:eastAsia="宋体" w:cs="宋体"/>
          <w:color w:val="auto"/>
          <w:sz w:val="24"/>
          <w:szCs w:val="24"/>
          <w:highlight w:val="none"/>
          <w:lang w:val="en-US" w:eastAsia="zh-CN"/>
        </w:rPr>
        <w:t>备注：告知书一式两份，一份由实施单位保存，一份由分（子）公司留档备查</w:t>
      </w:r>
    </w:p>
    <w:p>
      <w:pPr>
        <w:pStyle w:val="22"/>
        <w:ind w:left="0" w:leftChars="0" w:firstLine="0" w:firstLineChars="0"/>
        <w:rPr>
          <w:rFonts w:ascii="仿宋_GB2312" w:eastAsia="仿宋_GB2312"/>
          <w:color w:val="auto"/>
          <w:sz w:val="28"/>
          <w:szCs w:val="28"/>
          <w:highlight w:val="none"/>
        </w:rPr>
      </w:pPr>
    </w:p>
    <w:p>
      <w:pPr>
        <w:pStyle w:val="22"/>
        <w:rPr>
          <w:rFonts w:ascii="仿宋_GB2312" w:eastAsia="仿宋_GB2312"/>
          <w:color w:val="auto"/>
          <w:sz w:val="28"/>
          <w:szCs w:val="28"/>
          <w:highlight w:val="none"/>
        </w:rPr>
      </w:pPr>
    </w:p>
    <w:p>
      <w:pPr>
        <w:pStyle w:val="22"/>
        <w:rPr>
          <w:rFonts w:ascii="仿宋_GB2312" w:eastAsia="仿宋_GB2312"/>
          <w:color w:val="auto"/>
          <w:sz w:val="28"/>
          <w:szCs w:val="28"/>
          <w:highlight w:val="none"/>
        </w:rPr>
      </w:pPr>
    </w:p>
    <w:p>
      <w:pPr>
        <w:pStyle w:val="3"/>
        <w:rPr>
          <w:color w:val="auto"/>
          <w:highlight w:val="none"/>
        </w:rPr>
      </w:pPr>
      <w:bookmarkStart w:id="118" w:name="_Toc30824"/>
      <w:bookmarkStart w:id="119" w:name="_Toc1563"/>
      <w:bookmarkStart w:id="120" w:name="_Toc8147"/>
      <w:bookmarkStart w:id="121" w:name="_Toc6230"/>
      <w:bookmarkStart w:id="122" w:name="_Toc3723"/>
      <w:bookmarkStart w:id="123" w:name="_Toc21847"/>
      <w:bookmarkStart w:id="124" w:name="_Toc16552"/>
      <w:bookmarkStart w:id="125" w:name="_Toc5129"/>
      <w:bookmarkStart w:id="126" w:name="_Toc12169"/>
      <w:bookmarkStart w:id="127" w:name="_Toc23515"/>
      <w:bookmarkStart w:id="128" w:name="_Toc28358"/>
      <w:r>
        <w:rPr>
          <w:color w:val="auto"/>
          <w:highlight w:val="none"/>
        </w:rPr>
        <w:pict>
          <v:shape id="_x0000_s2059" o:spid="_x0000_s2059" o:spt="32" type="#_x0000_t32" style="position:absolute;left:0pt;margin-left:181.6pt;margin-top:56.7pt;height:0pt;width:75.5pt;z-index:251669504;mso-width-relative:page;mso-height-relative:page;" o:connectortype="straight" filled="f" coordsize="21600,21600">
            <v:path arrowok="t"/>
            <v:fill on="f" focussize="0,0"/>
            <v:stroke/>
            <v:imagedata o:title=""/>
            <o:lock v:ext="edit"/>
          </v:shape>
        </w:pict>
      </w:r>
      <w:r>
        <w:rPr>
          <w:color w:val="auto"/>
          <w:highlight w:val="none"/>
        </w:rPr>
        <w:pict>
          <v:shape id="_x0000_s2058" o:spid="_x0000_s2058" o:spt="32" type="#_x0000_t32" style="position:absolute;left:0pt;margin-left:183.1pt;margin-top:21.3pt;height:0pt;width:75.5pt;z-index:251668480;mso-width-relative:page;mso-height-relative:page;" o:connectortype="straight" filled="f" coordsize="21600,21600">
            <v:path arrowok="t"/>
            <v:fill on="f" focussize="0,0"/>
            <v:stroke/>
            <v:imagedata o:title=""/>
            <o:lock v:ext="edit"/>
          </v:shape>
        </w:pict>
      </w:r>
      <w:r>
        <w:rPr>
          <w:rFonts w:hint="eastAsia"/>
          <w:color w:val="auto"/>
          <w:highlight w:val="none"/>
        </w:rPr>
        <w:t>第七章</w:t>
      </w:r>
      <w:bookmarkEnd w:id="118"/>
      <w:bookmarkEnd w:id="119"/>
      <w:bookmarkEnd w:id="120"/>
      <w:bookmarkEnd w:id="121"/>
      <w:bookmarkEnd w:id="122"/>
      <w:bookmarkEnd w:id="123"/>
      <w:bookmarkEnd w:id="124"/>
      <w:bookmarkEnd w:id="125"/>
      <w:bookmarkEnd w:id="126"/>
      <w:bookmarkEnd w:id="127"/>
      <w:bookmarkEnd w:id="128"/>
    </w:p>
    <w:p>
      <w:pPr>
        <w:pStyle w:val="36"/>
        <w:rPr>
          <w:color w:val="auto"/>
          <w:highlight w:val="none"/>
        </w:rPr>
      </w:pPr>
    </w:p>
    <w:p>
      <w:pPr>
        <w:pStyle w:val="3"/>
        <w:rPr>
          <w:color w:val="auto"/>
          <w:highlight w:val="none"/>
        </w:rPr>
      </w:pPr>
      <w:bookmarkStart w:id="129" w:name="_Toc22764"/>
      <w:bookmarkStart w:id="130" w:name="_Toc17119"/>
      <w:bookmarkStart w:id="131" w:name="_Toc88209951"/>
      <w:bookmarkStart w:id="132" w:name="_Toc12769"/>
      <w:bookmarkStart w:id="133" w:name="_Toc5342"/>
      <w:bookmarkStart w:id="134" w:name="_Toc87616388"/>
      <w:bookmarkStart w:id="135" w:name="_Toc24490"/>
      <w:bookmarkStart w:id="136" w:name="_Toc24815"/>
      <w:bookmarkStart w:id="137" w:name="_Toc30157"/>
      <w:bookmarkStart w:id="138" w:name="_Toc10840"/>
      <w:bookmarkStart w:id="139" w:name="_Toc12610"/>
      <w:bookmarkStart w:id="140" w:name="_Toc31564"/>
      <w:bookmarkStart w:id="141" w:name="_Toc21675"/>
      <w:r>
        <w:rPr>
          <w:rFonts w:hint="eastAsia"/>
          <w:color w:val="auto"/>
          <w:highlight w:val="none"/>
        </w:rPr>
        <w:t>响应文件</w:t>
      </w:r>
      <w:r>
        <w:rPr>
          <w:rFonts w:hint="eastAsia"/>
          <w:color w:val="auto"/>
          <w:highlight w:val="none"/>
          <w:lang w:val="en-US" w:eastAsia="zh-CN"/>
        </w:rPr>
        <w:t>格式要求</w:t>
      </w:r>
      <w:bookmarkEnd w:id="129"/>
      <w:bookmarkEnd w:id="130"/>
      <w:bookmarkEnd w:id="131"/>
      <w:bookmarkEnd w:id="132"/>
      <w:bookmarkEnd w:id="133"/>
      <w:bookmarkEnd w:id="134"/>
      <w:bookmarkEnd w:id="135"/>
      <w:bookmarkEnd w:id="136"/>
      <w:bookmarkEnd w:id="137"/>
      <w:bookmarkEnd w:id="138"/>
      <w:bookmarkEnd w:id="139"/>
      <w:bookmarkEnd w:id="140"/>
      <w:bookmarkEnd w:id="141"/>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hint="eastAsia" w:ascii="方正小标宋简体" w:eastAsia="方正小标宋简体"/>
          <w:color w:val="auto"/>
          <w:sz w:val="44"/>
          <w:szCs w:val="44"/>
          <w:highlight w:val="none"/>
          <w:u w:val="single"/>
          <w:lang w:val="en-US" w:eastAsia="zh-CN"/>
        </w:rPr>
      </w:pPr>
      <w:r>
        <w:rPr>
          <w:rFonts w:hint="eastAsia" w:ascii="方正小标宋简体" w:eastAsia="方正小标宋简体"/>
          <w:color w:val="auto"/>
          <w:sz w:val="44"/>
          <w:szCs w:val="44"/>
          <w:highlight w:val="none"/>
          <w:u w:val="single"/>
          <w:lang w:val="en-US" w:eastAsia="zh-CN"/>
        </w:rPr>
        <w:t>从化公司2024年太平厂硫酸铝</w:t>
      </w:r>
    </w:p>
    <w:p>
      <w:pPr>
        <w:adjustRightInd w:val="0"/>
        <w:snapToGrid w:val="0"/>
        <w:spacing w:beforeLines="50" w:afterLines="50" w:line="600" w:lineRule="exact"/>
        <w:jc w:val="center"/>
        <w:rPr>
          <w:rFonts w:hint="eastAsia" w:ascii="方正小标宋简体" w:eastAsia="方正小标宋简体"/>
          <w:color w:val="auto"/>
          <w:sz w:val="44"/>
          <w:szCs w:val="44"/>
          <w:highlight w:val="none"/>
          <w:u w:val="single"/>
        </w:rPr>
      </w:pPr>
      <w:r>
        <w:rPr>
          <w:rFonts w:hint="eastAsia" w:ascii="方正小标宋简体" w:eastAsia="方正小标宋简体"/>
          <w:color w:val="auto"/>
          <w:sz w:val="44"/>
          <w:szCs w:val="44"/>
          <w:highlight w:val="none"/>
          <w:u w:val="single"/>
          <w:lang w:val="en-US" w:eastAsia="zh-CN"/>
        </w:rPr>
        <w:t>加药间改造项目</w:t>
      </w:r>
    </w:p>
    <w:p>
      <w:pPr>
        <w:adjustRightInd w:val="0"/>
        <w:snapToGrid w:val="0"/>
        <w:spacing w:beforeLines="50" w:afterLines="50" w:line="600" w:lineRule="exact"/>
        <w:jc w:val="center"/>
        <w:rPr>
          <w:rFonts w:ascii="仿宋_GB2312" w:eastAsia="仿宋_GB2312"/>
          <w:color w:val="auto"/>
          <w:sz w:val="30"/>
          <w:szCs w:val="30"/>
          <w:highlight w:val="none"/>
        </w:rPr>
      </w:pPr>
    </w:p>
    <w:p>
      <w:pPr>
        <w:adjustRightInd w:val="0"/>
        <w:snapToGrid w:val="0"/>
        <w:spacing w:beforeLines="50" w:afterLines="50" w:line="600" w:lineRule="exact"/>
        <w:jc w:val="center"/>
        <w:rPr>
          <w:rFonts w:ascii="仿宋_GB2312" w:eastAsia="仿宋_GB2312"/>
          <w:color w:val="auto"/>
          <w:sz w:val="30"/>
          <w:szCs w:val="30"/>
          <w:highlight w:val="none"/>
        </w:rPr>
      </w:pPr>
      <w:r>
        <w:rPr>
          <w:rFonts w:hint="eastAsia" w:ascii="仿宋_GB2312" w:eastAsia="仿宋_GB2312"/>
          <w:color w:val="auto"/>
          <w:sz w:val="30"/>
          <w:szCs w:val="30"/>
          <w:highlight w:val="none"/>
        </w:rPr>
        <w:t>（项目编号：   ）</w:t>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jc w:val="center"/>
        <w:rPr>
          <w:rFonts w:hint="eastAsia" w:ascii="方正小标宋简体" w:eastAsia="方正小标宋简体"/>
          <w:color w:val="auto"/>
          <w:sz w:val="48"/>
          <w:szCs w:val="48"/>
          <w:highlight w:val="none"/>
        </w:rPr>
      </w:pPr>
    </w:p>
    <w:p>
      <w:pPr>
        <w:adjustRightInd w:val="0"/>
        <w:snapToGrid w:val="0"/>
        <w:spacing w:line="600" w:lineRule="exact"/>
        <w:ind w:left="1" w:firstLine="709" w:firstLineChars="197"/>
        <w:jc w:val="center"/>
        <w:rPr>
          <w:rFonts w:ascii="仿宋_GB2312" w:eastAsia="仿宋_GB2312" w:hAnsiTheme="minorEastAsia"/>
          <w:color w:val="auto"/>
          <w:sz w:val="36"/>
          <w:szCs w:val="36"/>
          <w:highlight w:val="none"/>
        </w:rPr>
      </w:pPr>
      <w:r>
        <w:rPr>
          <w:rFonts w:hint="eastAsia" w:ascii="仿宋_GB2312" w:eastAsia="仿宋_GB2312" w:hAnsiTheme="minorEastAsia"/>
          <w:color w:val="auto"/>
          <w:sz w:val="36"/>
          <w:szCs w:val="36"/>
          <w:highlight w:val="none"/>
        </w:rPr>
        <w:t>供应商：</w:t>
      </w: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（单位公章）</w:t>
      </w:r>
    </w:p>
    <w:p>
      <w:pPr>
        <w:adjustRightInd w:val="0"/>
        <w:snapToGrid w:val="0"/>
        <w:spacing w:line="600" w:lineRule="exact"/>
        <w:ind w:left="1" w:right="560" w:firstLine="709" w:firstLineChars="197"/>
        <w:jc w:val="center"/>
        <w:rPr>
          <w:rFonts w:ascii="仿宋_GB2312" w:eastAsia="仿宋_GB2312" w:hAnsiTheme="minorEastAsia"/>
          <w:color w:val="auto"/>
          <w:sz w:val="36"/>
          <w:szCs w:val="36"/>
          <w:highlight w:val="none"/>
        </w:rPr>
      </w:pP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年</w:t>
      </w: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月</w:t>
      </w: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日</w:t>
      </w:r>
    </w:p>
    <w:p>
      <w:pPr>
        <w:adjustRightInd w:val="0"/>
        <w:snapToGrid w:val="0"/>
        <w:spacing w:beforeLines="50" w:afterLines="50" w:line="600" w:lineRule="exact"/>
        <w:jc w:val="center"/>
        <w:rPr>
          <w:rFonts w:ascii="方正小标宋简体" w:eastAsia="方正小标宋简体"/>
          <w:color w:val="auto"/>
          <w:sz w:val="44"/>
          <w:szCs w:val="44"/>
          <w:highlight w:val="none"/>
        </w:rPr>
      </w:pPr>
      <w:r>
        <w:rPr>
          <w:rFonts w:ascii="方正小标宋简体" w:eastAsia="方正小标宋简体"/>
          <w:color w:val="auto"/>
          <w:sz w:val="44"/>
          <w:szCs w:val="44"/>
          <w:highlight w:val="none"/>
        </w:rPr>
        <w:br w:type="textWrapping"/>
      </w: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adjustRightInd w:val="0"/>
        <w:snapToGrid w:val="0"/>
        <w:spacing w:beforeLines="50" w:afterLines="50" w:line="600" w:lineRule="exact"/>
        <w:jc w:val="both"/>
        <w:rPr>
          <w:rFonts w:ascii="方正小标宋简体" w:eastAsia="方正小标宋简体"/>
          <w:color w:val="auto"/>
          <w:sz w:val="30"/>
          <w:szCs w:val="30"/>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r>
        <w:rPr>
          <w:rFonts w:ascii="方正小标宋简体" w:eastAsia="方正小标宋简体"/>
          <w:color w:val="auto"/>
          <w:sz w:val="44"/>
          <w:szCs w:val="44"/>
          <w:highlight w:val="none"/>
        </w:rPr>
        <w:t>目</w:t>
      </w:r>
      <w:r>
        <w:rPr>
          <w:rFonts w:hint="eastAsia" w:ascii="方正小标宋简体" w:eastAsia="方正小标宋简体"/>
          <w:color w:val="auto"/>
          <w:sz w:val="44"/>
          <w:szCs w:val="44"/>
          <w:highlight w:val="none"/>
        </w:rPr>
        <w:t xml:space="preserve">  </w:t>
      </w:r>
      <w:r>
        <w:rPr>
          <w:rFonts w:ascii="方正小标宋简体" w:eastAsia="方正小标宋简体"/>
          <w:color w:val="auto"/>
          <w:sz w:val="44"/>
          <w:szCs w:val="44"/>
          <w:highlight w:val="none"/>
        </w:rPr>
        <w:t>录</w:t>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line="600" w:lineRule="exact"/>
        <w:jc w:val="center"/>
        <w:rPr>
          <w:rFonts w:ascii="方正小标宋简体" w:eastAsia="方正小标宋简体"/>
          <w:color w:val="auto"/>
          <w:sz w:val="44"/>
          <w:szCs w:val="44"/>
          <w:highlight w:val="none"/>
        </w:rPr>
      </w:pPr>
    </w:p>
    <w:p>
      <w:pPr>
        <w:spacing w:line="600" w:lineRule="exact"/>
        <w:rPr>
          <w:rFonts w:ascii="仿宋_GB2312" w:eastAsia="仿宋_GB2312"/>
          <w:color w:val="auto"/>
          <w:sz w:val="28"/>
          <w:szCs w:val="28"/>
          <w:highlight w:val="none"/>
        </w:rPr>
      </w:pPr>
      <w:bookmarkStart w:id="142" w:name="_Toc87616389"/>
      <w:bookmarkStart w:id="143" w:name="_Toc88209952"/>
      <w:r>
        <w:rPr>
          <w:rFonts w:hint="eastAsia" w:ascii="仿宋_GB2312" w:eastAsia="仿宋_GB2312"/>
          <w:color w:val="auto"/>
          <w:sz w:val="28"/>
          <w:szCs w:val="28"/>
          <w:highlight w:val="none"/>
        </w:rPr>
        <w:t>1.响应函</w:t>
      </w:r>
      <w:bookmarkEnd w:id="142"/>
      <w:bookmarkEnd w:id="143"/>
    </w:p>
    <w:p>
      <w:pPr>
        <w:spacing w:line="600" w:lineRule="exact"/>
        <w:rPr>
          <w:rFonts w:hint="eastAsia" w:ascii="仿宋_GB2312" w:eastAsia="仿宋_GB2312"/>
          <w:color w:val="auto"/>
          <w:sz w:val="28"/>
          <w:szCs w:val="28"/>
          <w:highlight w:val="none"/>
        </w:rPr>
      </w:pPr>
      <w:bookmarkStart w:id="144" w:name="_Toc87616390"/>
      <w:bookmarkStart w:id="145" w:name="_Toc88209953"/>
      <w:r>
        <w:rPr>
          <w:rFonts w:hint="eastAsia" w:ascii="仿宋_GB2312" w:eastAsia="仿宋_GB2312"/>
          <w:color w:val="auto"/>
          <w:sz w:val="28"/>
          <w:szCs w:val="28"/>
          <w:highlight w:val="none"/>
        </w:rPr>
        <w:t>2.法定代表人证明或授权委托书</w:t>
      </w:r>
      <w:bookmarkEnd w:id="144"/>
      <w:bookmarkEnd w:id="145"/>
      <w:bookmarkStart w:id="146" w:name="_Toc87616393"/>
      <w:bookmarkStart w:id="147" w:name="_Toc88209956"/>
      <w:r>
        <w:rPr>
          <w:rFonts w:hint="eastAsia" w:ascii="仿宋_GB2312" w:eastAsia="仿宋_GB2312"/>
          <w:color w:val="auto"/>
          <w:sz w:val="28"/>
          <w:szCs w:val="28"/>
          <w:highlight w:val="none"/>
        </w:rPr>
        <w:cr/>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.资格审查资料</w:t>
      </w:r>
      <w:r>
        <w:rPr>
          <w:rFonts w:hint="eastAsia" w:ascii="仿宋_GB2312" w:eastAsia="仿宋_GB2312"/>
          <w:color w:val="auto"/>
          <w:sz w:val="28"/>
          <w:szCs w:val="28"/>
          <w:highlight w:val="none"/>
        </w:rPr>
        <w:cr/>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.拟投入本项目的项目负责人情况表</w:t>
      </w:r>
    </w:p>
    <w:p>
      <w:pPr>
        <w:spacing w:line="600" w:lineRule="exac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报价表</w:t>
      </w:r>
      <w:r>
        <w:rPr>
          <w:rFonts w:hint="eastAsia" w:ascii="仿宋_GB2312" w:eastAsia="仿宋_GB2312"/>
          <w:color w:val="auto"/>
          <w:sz w:val="28"/>
          <w:szCs w:val="28"/>
          <w:highlight w:val="none"/>
        </w:rPr>
        <w:cr/>
      </w: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.其他资料</w:t>
      </w:r>
      <w:bookmarkEnd w:id="146"/>
      <w:bookmarkEnd w:id="147"/>
      <w:r>
        <w:rPr>
          <w:rFonts w:hint="eastAsia" w:ascii="仿宋_GB2312" w:eastAsia="仿宋_GB2312"/>
          <w:color w:val="auto"/>
          <w:sz w:val="28"/>
          <w:szCs w:val="28"/>
          <w:highlight w:val="none"/>
        </w:rPr>
        <w:cr/>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2"/>
        <w:rPr>
          <w:color w:val="auto"/>
          <w:highlight w:val="none"/>
        </w:rPr>
      </w:pPr>
    </w:p>
    <w:p>
      <w:pPr>
        <w:adjustRightInd w:val="0"/>
        <w:snapToGrid w:val="0"/>
        <w:spacing w:beforeLines="50" w:afterLines="50" w:line="600" w:lineRule="exact"/>
        <w:jc w:val="both"/>
        <w:rPr>
          <w:rFonts w:ascii="方正小标宋简体" w:eastAsia="方正小标宋简体"/>
          <w:color w:val="auto"/>
          <w:sz w:val="44"/>
          <w:szCs w:val="44"/>
          <w:highlight w:val="none"/>
        </w:rPr>
      </w:pPr>
    </w:p>
    <w:p>
      <w:pPr>
        <w:pStyle w:val="22"/>
        <w:rPr>
          <w:highlight w:val="none"/>
        </w:rPr>
      </w:pPr>
    </w:p>
    <w:p>
      <w:pPr>
        <w:adjustRightInd w:val="0"/>
        <w:snapToGrid w:val="0"/>
        <w:spacing w:beforeLines="50" w:afterLines="50" w:line="600" w:lineRule="exact"/>
        <w:jc w:val="both"/>
        <w:rPr>
          <w:rFonts w:ascii="方正小标宋简体" w:eastAsia="方正小标宋简体"/>
          <w:color w:val="auto"/>
          <w:sz w:val="44"/>
          <w:szCs w:val="44"/>
          <w:highlight w:val="none"/>
        </w:rPr>
      </w:pPr>
    </w:p>
    <w:p>
      <w:pPr>
        <w:pStyle w:val="5"/>
        <w:rPr>
          <w:rFonts w:asciiTheme="minorEastAsia" w:hAnsiTheme="minorEastAsia" w:eastAsiaTheme="minorEastAsia"/>
          <w:color w:val="auto"/>
          <w:sz w:val="28"/>
          <w:szCs w:val="28"/>
          <w:highlight w:val="none"/>
        </w:rPr>
      </w:pPr>
      <w:bookmarkStart w:id="148" w:name="_Toc6313"/>
      <w:bookmarkStart w:id="149" w:name="_Toc28619645"/>
      <w:bookmarkStart w:id="150" w:name="_Toc87616394"/>
      <w:bookmarkStart w:id="151" w:name="_Toc88209957"/>
      <w:bookmarkStart w:id="152" w:name="_Toc12665"/>
      <w:r>
        <w:rPr>
          <w:rFonts w:hint="eastAsia" w:asciiTheme="minorEastAsia" w:hAnsiTheme="minorEastAsia" w:eastAsiaTheme="minorEastAsia"/>
          <w:color w:val="auto"/>
          <w:sz w:val="28"/>
          <w:szCs w:val="28"/>
          <w:highlight w:val="none"/>
        </w:rPr>
        <w:t>1.响应函</w:t>
      </w:r>
      <w:bookmarkEnd w:id="148"/>
      <w:bookmarkEnd w:id="149"/>
      <w:bookmarkEnd w:id="150"/>
      <w:bookmarkEnd w:id="151"/>
      <w:bookmarkEnd w:id="152"/>
    </w:p>
    <w:p>
      <w:pPr>
        <w:spacing w:line="360" w:lineRule="auto"/>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1.1响应函</w:t>
      </w:r>
    </w:p>
    <w:p>
      <w:pPr>
        <w:spacing w:line="360" w:lineRule="auto"/>
        <w:rPr>
          <w:rFonts w:ascii="仿宋_GB2312" w:hAnsi="黑体" w:eastAsia="仿宋_GB2312"/>
          <w:color w:val="auto"/>
          <w:sz w:val="28"/>
          <w:szCs w:val="28"/>
          <w:highlight w:val="none"/>
          <w:u w:val="single"/>
        </w:rPr>
      </w:pPr>
    </w:p>
    <w:p>
      <w:pPr>
        <w:spacing w:line="360" w:lineRule="auto"/>
        <w:rPr>
          <w:rFonts w:ascii="仿宋_GB2312" w:hAnsi="黑体" w:eastAsia="仿宋_GB2312"/>
          <w:color w:val="auto"/>
          <w:sz w:val="28"/>
          <w:szCs w:val="28"/>
          <w:highlight w:val="none"/>
          <w:u w:val="single"/>
        </w:rPr>
      </w:pPr>
      <w:r>
        <w:rPr>
          <w:rFonts w:hint="eastAsia" w:ascii="仿宋_GB2312" w:hAnsi="黑体" w:eastAsia="仿宋_GB2312"/>
          <w:color w:val="auto"/>
          <w:sz w:val="28"/>
          <w:szCs w:val="28"/>
          <w:highlight w:val="none"/>
          <w:u w:val="single"/>
        </w:rPr>
        <w:t>至</w:t>
      </w:r>
      <w:r>
        <w:rPr>
          <w:rFonts w:hint="eastAsia" w:ascii="仿宋_GB2312" w:hAnsi="黑体" w:eastAsia="仿宋_GB2312"/>
          <w:color w:val="auto"/>
          <w:sz w:val="28"/>
          <w:szCs w:val="28"/>
          <w:highlight w:val="none"/>
          <w:u w:val="single"/>
          <w:lang w:val="en-US" w:eastAsia="zh-CN"/>
        </w:rPr>
        <w:t>广州从化净水有限公司</w:t>
      </w:r>
      <w:r>
        <w:rPr>
          <w:rFonts w:hint="eastAsia" w:ascii="仿宋_GB2312" w:hAnsi="黑体" w:eastAsia="仿宋_GB2312"/>
          <w:color w:val="auto"/>
          <w:sz w:val="28"/>
          <w:szCs w:val="28"/>
          <w:highlight w:val="none"/>
          <w:u w:val="single"/>
        </w:rPr>
        <w:t>：</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1.我方已仔细研究了（项目名称、项目编号、标段/标包号）   采购文件的全部内容，愿意以含税价人民币（大写）     (¥      ）的报价完成/提供本项目□工程 □货物□服务并按合同约定履行义务。</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2.我方响应文件包括下列内容：</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1</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响应函</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2</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法定代表人证明或授权委托书</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3</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资格审查资料</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4</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拟投入本项目的项目负责人情况表</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5</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报价表</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6</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其他资料</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响应文件的上述组成部分如有不一致的内容，以响应函为准。</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3.我方完全理解询价文件中所有要求均为实质性响应条款，如有任何一条负偏离或者不满足将导致询价无效。由于我方提供资料不实或与需求书中所有条款不符而造成的责任和后果由我方承担。</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4</w:t>
      </w: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我方承诺在</w:t>
      </w:r>
      <w:r>
        <w:rPr>
          <w:rFonts w:hint="eastAsia" w:ascii="仿宋_GB2312" w:hAnsi="黑体" w:eastAsia="仿宋_GB2312"/>
          <w:color w:val="auto"/>
          <w:sz w:val="28"/>
          <w:szCs w:val="28"/>
          <w:highlight w:val="none"/>
        </w:rPr>
        <w:t>采购</w:t>
      </w:r>
      <w:r>
        <w:rPr>
          <w:rFonts w:ascii="仿宋_GB2312" w:hAnsi="黑体" w:eastAsia="仿宋_GB2312"/>
          <w:color w:val="auto"/>
          <w:sz w:val="28"/>
          <w:szCs w:val="28"/>
          <w:highlight w:val="none"/>
        </w:rPr>
        <w:t>文件有效期内不撤销响应文件。</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5</w:t>
      </w: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如我方</w:t>
      </w:r>
      <w:r>
        <w:rPr>
          <w:rFonts w:hint="eastAsia" w:ascii="仿宋_GB2312" w:hAnsi="黑体" w:eastAsia="仿宋_GB2312"/>
          <w:color w:val="auto"/>
          <w:sz w:val="28"/>
          <w:szCs w:val="28"/>
          <w:highlight w:val="none"/>
        </w:rPr>
        <w:t>成交</w:t>
      </w:r>
      <w:r>
        <w:rPr>
          <w:rFonts w:ascii="仿宋_GB2312" w:hAnsi="黑体" w:eastAsia="仿宋_GB2312"/>
          <w:color w:val="auto"/>
          <w:sz w:val="28"/>
          <w:szCs w:val="28"/>
          <w:highlight w:val="none"/>
        </w:rPr>
        <w:t>，我方承诺：</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1）在收到成交通知书后，在成交通知书规定的期限内与你方签订合同；</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2）在签订合同时不向你方提出附加条件；</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3）按照采购文件要求提交履约保证金；</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4）在合同约定的期限内完成合同规定的全部义务。</w:t>
      </w:r>
    </w:p>
    <w:p>
      <w:pPr>
        <w:pStyle w:val="22"/>
        <w:ind w:firstLine="560" w:firstLineChars="200"/>
        <w:rPr>
          <w:rFonts w:hint="eastAsia" w:eastAsia="仿宋_GB2312"/>
          <w:lang w:eastAsia="zh-CN"/>
        </w:rPr>
      </w:pPr>
      <w:r>
        <w:rPr>
          <w:rFonts w:hint="default" w:ascii="仿宋_GB2312" w:hAnsi="黑体" w:eastAsia="仿宋_GB2312" w:cstheme="minorBidi"/>
          <w:color w:val="auto"/>
          <w:kern w:val="2"/>
          <w:sz w:val="28"/>
          <w:szCs w:val="28"/>
          <w:highlight w:val="none"/>
          <w:lang w:eastAsia="zh-CN"/>
        </w:rPr>
        <w:t>（</w:t>
      </w:r>
      <w:r>
        <w:rPr>
          <w:rFonts w:hint="default" w:ascii="仿宋_GB2312" w:hAnsi="黑体" w:eastAsia="仿宋_GB2312" w:cstheme="minorBidi"/>
          <w:color w:val="auto"/>
          <w:kern w:val="2"/>
          <w:sz w:val="28"/>
          <w:szCs w:val="28"/>
          <w:highlight w:val="none"/>
          <w:lang w:val="en-US" w:eastAsia="zh-CN"/>
        </w:rPr>
        <w:t>5</w:t>
      </w:r>
      <w:r>
        <w:rPr>
          <w:rFonts w:hint="default" w:ascii="仿宋_GB2312" w:hAnsi="黑体" w:eastAsia="仿宋_GB2312" w:cstheme="minorBidi"/>
          <w:color w:val="auto"/>
          <w:kern w:val="2"/>
          <w:sz w:val="28"/>
          <w:szCs w:val="28"/>
          <w:highlight w:val="none"/>
          <w:lang w:eastAsia="zh-CN"/>
        </w:rPr>
        <w:t>）如放弃成交，我方依法</w:t>
      </w:r>
      <w:r>
        <w:rPr>
          <w:rFonts w:hint="eastAsia" w:ascii="仿宋_GB2312" w:hAnsi="黑体" w:eastAsia="仿宋_GB2312"/>
          <w:color w:val="auto"/>
          <w:sz w:val="28"/>
          <w:szCs w:val="28"/>
          <w:highlight w:val="none"/>
          <w:lang w:eastAsia="zh-CN"/>
        </w:rPr>
        <w:t>承担相应的法律责任。</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6</w:t>
      </w:r>
      <w:r>
        <w:rPr>
          <w:rFonts w:hint="eastAsia" w:ascii="仿宋_GB2312" w:hAnsi="黑体" w:eastAsia="仿宋_GB2312"/>
          <w:color w:val="auto"/>
          <w:sz w:val="28"/>
          <w:szCs w:val="28"/>
          <w:highlight w:val="none"/>
        </w:rPr>
        <w:t>.我方在此声明，所递交的响应文件及有关资料内容完整、真实和准确，且不存在</w:t>
      </w:r>
      <w:r>
        <w:rPr>
          <w:rFonts w:hint="eastAsia" w:ascii="仿宋_GB2312" w:hAnsi="黑体" w:eastAsia="仿宋_GB2312"/>
          <w:color w:val="auto"/>
          <w:sz w:val="28"/>
          <w:szCs w:val="28"/>
          <w:highlight w:val="none"/>
          <w:lang w:eastAsia="zh-CN"/>
        </w:rPr>
        <w:t>采购公告（采购邀请书）</w:t>
      </w:r>
      <w:r>
        <w:rPr>
          <w:rFonts w:hint="eastAsia" w:ascii="仿宋_GB2312" w:hAnsi="黑体" w:eastAsia="仿宋_GB2312"/>
          <w:color w:val="auto"/>
          <w:sz w:val="28"/>
          <w:szCs w:val="28"/>
          <w:highlight w:val="none"/>
        </w:rPr>
        <w:t>中供应商不得存在的情形。</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7</w:t>
      </w:r>
      <w:r>
        <w:rPr>
          <w:rFonts w:hint="eastAsia" w:ascii="仿宋_GB2312" w:hAnsi="黑体" w:eastAsia="仿宋_GB2312"/>
          <w:color w:val="auto"/>
          <w:sz w:val="28"/>
          <w:szCs w:val="28"/>
          <w:highlight w:val="none"/>
        </w:rPr>
        <w:t>.</w:t>
      </w:r>
      <w:r>
        <w:rPr>
          <w:rFonts w:hint="eastAsia" w:ascii="仿宋_GB2312" w:hAnsi="黑体" w:eastAsia="仿宋_GB2312"/>
          <w:color w:val="auto"/>
          <w:sz w:val="28"/>
          <w:szCs w:val="28"/>
          <w:highlight w:val="none"/>
          <w:u w:val="single"/>
        </w:rPr>
        <w:t xml:space="preserve">       （其他补充说明）</w:t>
      </w:r>
      <w:r>
        <w:rPr>
          <w:rFonts w:hint="eastAsia" w:ascii="仿宋_GB2312" w:hAnsi="黑体" w:eastAsia="仿宋_GB2312"/>
          <w:color w:val="auto"/>
          <w:sz w:val="28"/>
          <w:szCs w:val="28"/>
          <w:highlight w:val="none"/>
        </w:rPr>
        <w:t>。</w:t>
      </w:r>
    </w:p>
    <w:p>
      <w:pPr>
        <w:adjustRightInd w:val="0"/>
        <w:snapToGrid w:val="0"/>
        <w:spacing w:line="600" w:lineRule="exact"/>
        <w:ind w:left="1" w:firstLine="551" w:firstLineChars="197"/>
        <w:jc w:val="left"/>
        <w:rPr>
          <w:rFonts w:ascii="仿宋_GB2312" w:eastAsia="仿宋_GB2312" w:hAnsiTheme="minorEastAsia"/>
          <w:color w:val="auto"/>
          <w:sz w:val="28"/>
          <w:szCs w:val="28"/>
          <w:highlight w:val="none"/>
        </w:rPr>
      </w:pPr>
    </w:p>
    <w:p>
      <w:pPr>
        <w:adjustRightInd w:val="0"/>
        <w:snapToGrid w:val="0"/>
        <w:spacing w:line="600" w:lineRule="exact"/>
        <w:ind w:left="1" w:firstLine="551" w:firstLineChars="197"/>
        <w:jc w:val="left"/>
        <w:rPr>
          <w:rFonts w:ascii="仿宋_GB2312" w:eastAsia="仿宋_GB2312" w:hAnsiTheme="minorEastAsia"/>
          <w:color w:val="auto"/>
          <w:sz w:val="28"/>
          <w:szCs w:val="28"/>
          <w:highlight w:val="none"/>
        </w:rPr>
      </w:pPr>
    </w:p>
    <w:p>
      <w:pPr>
        <w:adjustRightInd w:val="0"/>
        <w:snapToGrid w:val="0"/>
        <w:spacing w:line="600" w:lineRule="exact"/>
        <w:ind w:left="1" w:firstLine="551" w:firstLineChars="197"/>
        <w:jc w:val="righ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供应商：</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（单位公章）</w:t>
      </w:r>
    </w:p>
    <w:p>
      <w:pPr>
        <w:adjustRightInd w:val="0"/>
        <w:snapToGrid w:val="0"/>
        <w:spacing w:line="600" w:lineRule="exact"/>
        <w:ind w:left="1" w:firstLine="551" w:firstLineChars="197"/>
        <w:jc w:val="righ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法定代表人或委托代理人：</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（签字或盖章）</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地址：</w:t>
      </w:r>
      <w:r>
        <w:rPr>
          <w:rFonts w:hint="eastAsia" w:ascii="仿宋_GB2312" w:eastAsia="仿宋_GB2312" w:hAnsiTheme="minorEastAsia"/>
          <w:color w:val="auto"/>
          <w:sz w:val="28"/>
          <w:szCs w:val="28"/>
          <w:highlight w:val="none"/>
          <w:u w:val="single"/>
        </w:rPr>
        <w:t xml:space="preserve">                              </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电子邮箱：</w:t>
      </w:r>
      <w:r>
        <w:rPr>
          <w:rFonts w:hint="eastAsia" w:ascii="仿宋_GB2312" w:eastAsia="仿宋_GB2312" w:hAnsiTheme="minorEastAsia"/>
          <w:color w:val="auto"/>
          <w:sz w:val="28"/>
          <w:szCs w:val="28"/>
          <w:highlight w:val="none"/>
          <w:u w:val="single"/>
        </w:rPr>
        <w:t xml:space="preserve">                          </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r>
        <w:rPr>
          <w:rFonts w:hint="eastAsia" w:ascii="仿宋_GB2312" w:eastAsia="仿宋_GB2312" w:hAnsiTheme="minorEastAsia"/>
          <w:color w:val="auto"/>
          <w:sz w:val="28"/>
          <w:szCs w:val="28"/>
          <w:highlight w:val="none"/>
          <w:u w:val="single"/>
        </w:rPr>
        <w:t xml:space="preserve">                              </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传真：</w:t>
      </w:r>
      <w:r>
        <w:rPr>
          <w:rFonts w:hint="eastAsia" w:ascii="仿宋_GB2312" w:eastAsia="仿宋_GB2312" w:hAnsiTheme="minorEastAsia"/>
          <w:color w:val="auto"/>
          <w:sz w:val="28"/>
          <w:szCs w:val="28"/>
          <w:highlight w:val="none"/>
          <w:u w:val="single"/>
        </w:rPr>
        <w:t xml:space="preserve">                              </w:t>
      </w:r>
    </w:p>
    <w:p>
      <w:pPr>
        <w:spacing w:line="600" w:lineRule="exact"/>
        <w:ind w:left="1" w:firstLine="551" w:firstLineChars="197"/>
        <w:jc w:val="right"/>
        <w:rPr>
          <w:rFonts w:hint="eastAsia"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年</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月</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日</w:t>
      </w:r>
    </w:p>
    <w:p>
      <w:pPr>
        <w:adjustRightInd w:val="0"/>
        <w:snapToGrid w:val="0"/>
        <w:spacing w:line="600" w:lineRule="exact"/>
        <w:ind w:left="1" w:firstLine="551" w:firstLineChars="197"/>
        <w:jc w:val="right"/>
        <w:rPr>
          <w:rFonts w:hint="eastAsia" w:asciiTheme="minorEastAsia" w:hAnsiTheme="minorEastAsia" w:eastAsiaTheme="minorEastAsia"/>
          <w:color w:val="auto"/>
          <w:sz w:val="28"/>
          <w:szCs w:val="28"/>
          <w:highlight w:val="none"/>
        </w:rPr>
      </w:pPr>
      <w:bookmarkStart w:id="153" w:name="_Toc29833"/>
      <w:bookmarkStart w:id="154" w:name="_Toc88209958"/>
      <w:bookmarkStart w:id="155" w:name="_Toc22527"/>
      <w:bookmarkStart w:id="156" w:name="_Toc87616395"/>
    </w:p>
    <w:p>
      <w:pPr>
        <w:pStyle w:val="5"/>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2.法定代表人证明或授权委托书</w:t>
      </w:r>
      <w:bookmarkEnd w:id="153"/>
      <w:bookmarkEnd w:id="154"/>
      <w:bookmarkEnd w:id="155"/>
      <w:bookmarkEnd w:id="156"/>
    </w:p>
    <w:p>
      <w:pPr>
        <w:spacing w:line="360" w:lineRule="auto"/>
        <w:rPr>
          <w:color w:val="auto"/>
          <w:highlight w:val="none"/>
        </w:rPr>
      </w:pPr>
      <w:r>
        <w:rPr>
          <w:rFonts w:hint="eastAsia" w:ascii="仿宋_GB2312" w:hAnsi="黑体" w:eastAsia="仿宋_GB2312"/>
          <w:color w:val="auto"/>
          <w:sz w:val="28"/>
          <w:szCs w:val="28"/>
          <w:highlight w:val="none"/>
        </w:rPr>
        <w:t>2.1法定代表人证明格式</w:t>
      </w:r>
    </w:p>
    <w:p>
      <w:pPr>
        <w:widowControl/>
        <w:adjustRightInd w:val="0"/>
        <w:snapToGrid w:val="0"/>
        <w:spacing w:beforeLines="50" w:afterLines="50" w:line="600" w:lineRule="exact"/>
        <w:jc w:val="center"/>
        <w:rPr>
          <w:rFonts w:ascii="方正小标宋简体" w:hAnsi="Times New Roman" w:eastAsia="方正小标宋简体" w:cs="Tahoma"/>
          <w:color w:val="auto"/>
          <w:kern w:val="0"/>
          <w:sz w:val="44"/>
          <w:szCs w:val="44"/>
          <w:highlight w:val="none"/>
        </w:rPr>
      </w:pPr>
      <w:r>
        <w:rPr>
          <w:rFonts w:hint="eastAsia" w:ascii="方正小标宋简体" w:hAnsi="Times New Roman" w:eastAsia="方正小标宋简体" w:cs="Tahoma"/>
          <w:color w:val="auto"/>
          <w:kern w:val="0"/>
          <w:sz w:val="44"/>
          <w:szCs w:val="44"/>
          <w:highlight w:val="none"/>
        </w:rPr>
        <w:t>法定代表人证明书</w:t>
      </w:r>
    </w:p>
    <w:p>
      <w:pPr>
        <w:pStyle w:val="38"/>
        <w:snapToGrid w:val="0"/>
        <w:spacing w:after="0" w:line="600" w:lineRule="exact"/>
        <w:jc w:val="both"/>
        <w:rPr>
          <w:rFonts w:ascii="仿宋_GB2312" w:hAnsi="宋体" w:eastAsia="仿宋_GB2312" w:cs="Times New Roman"/>
          <w:color w:val="auto"/>
          <w:sz w:val="30"/>
          <w:szCs w:val="30"/>
          <w:highlight w:val="none"/>
          <w:u w:val="single"/>
        </w:rPr>
      </w:pPr>
      <w:r>
        <w:rPr>
          <w:rFonts w:hint="eastAsia" w:ascii="仿宋_GB2312" w:hAnsi="宋体" w:eastAsia="仿宋_GB2312" w:cs="Times New Roman"/>
          <w:color w:val="auto"/>
          <w:sz w:val="32"/>
          <w:szCs w:val="32"/>
          <w:highlight w:val="none"/>
        </w:rPr>
        <w:t xml:space="preserve">     </w:t>
      </w:r>
      <w:r>
        <w:rPr>
          <w:rFonts w:hint="eastAsia" w:ascii="仿宋_GB2312" w:hAnsi="宋体" w:eastAsia="仿宋_GB2312" w:cs="Times New Roman"/>
          <w:color w:val="auto"/>
          <w:sz w:val="30"/>
          <w:szCs w:val="30"/>
          <w:highlight w:val="none"/>
        </w:rPr>
        <w:t>供应商名称：</w:t>
      </w:r>
      <w:r>
        <w:rPr>
          <w:rFonts w:hint="eastAsia" w:ascii="仿宋_GB2312" w:hAnsi="宋体" w:eastAsia="仿宋_GB2312" w:cs="Times New Roman"/>
          <w:color w:val="auto"/>
          <w:sz w:val="30"/>
          <w:szCs w:val="30"/>
          <w:highlight w:val="none"/>
          <w:u w:val="single"/>
        </w:rPr>
        <w:t xml:space="preserve">                          </w:t>
      </w:r>
    </w:p>
    <w:p>
      <w:pPr>
        <w:pStyle w:val="13"/>
        <w:snapToGrid w:val="0"/>
        <w:spacing w:line="600" w:lineRule="exact"/>
        <w:rPr>
          <w:rFonts w:ascii="仿宋_GB2312" w:hAnsi="宋体" w:eastAsia="仿宋_GB2312" w:cs="Times New Roman"/>
          <w:color w:val="auto"/>
          <w:sz w:val="30"/>
          <w:szCs w:val="30"/>
          <w:highlight w:val="none"/>
          <w:u w:val="single"/>
        </w:rPr>
      </w:pPr>
      <w:r>
        <w:rPr>
          <w:rFonts w:hint="eastAsia" w:ascii="仿宋_GB2312" w:hAnsi="宋体" w:eastAsia="仿宋_GB2312" w:cs="Times New Roman"/>
          <w:color w:val="auto"/>
          <w:sz w:val="30"/>
          <w:szCs w:val="30"/>
          <w:highlight w:val="none"/>
        </w:rPr>
        <w:t xml:space="preserve">     单位性质：</w:t>
      </w:r>
      <w:r>
        <w:rPr>
          <w:rFonts w:hint="eastAsia" w:ascii="仿宋_GB2312" w:hAnsi="宋体" w:eastAsia="仿宋_GB2312" w:cs="Times New Roman"/>
          <w:color w:val="auto"/>
          <w:sz w:val="30"/>
          <w:szCs w:val="30"/>
          <w:highlight w:val="none"/>
          <w:u w:val="single"/>
        </w:rPr>
        <w:t xml:space="preserve">                            </w:t>
      </w:r>
    </w:p>
    <w:p>
      <w:pPr>
        <w:pStyle w:val="37"/>
        <w:snapToGrid w:val="0"/>
        <w:spacing w:after="0" w:line="600" w:lineRule="exact"/>
        <w:ind w:firstLine="750" w:firstLineChars="250"/>
        <w:rPr>
          <w:rFonts w:ascii="仿宋_GB2312" w:hAnsi="宋体" w:eastAsia="仿宋_GB2312" w:cs="Times New Roman"/>
          <w:color w:val="auto"/>
          <w:sz w:val="30"/>
          <w:szCs w:val="30"/>
          <w:highlight w:val="none"/>
          <w:u w:val="single"/>
        </w:rPr>
      </w:pPr>
      <w:r>
        <w:rPr>
          <w:rFonts w:hint="eastAsia" w:ascii="仿宋_GB2312" w:hAnsi="宋体" w:eastAsia="仿宋_GB2312" w:cs="Times New Roman"/>
          <w:color w:val="auto"/>
          <w:sz w:val="30"/>
          <w:szCs w:val="30"/>
          <w:highlight w:val="none"/>
        </w:rPr>
        <w:t>地    址：</w:t>
      </w:r>
      <w:r>
        <w:rPr>
          <w:rFonts w:hint="eastAsia" w:ascii="仿宋_GB2312" w:hAnsi="宋体" w:eastAsia="仿宋_GB2312" w:cs="Times New Roman"/>
          <w:color w:val="auto"/>
          <w:sz w:val="30"/>
          <w:szCs w:val="30"/>
          <w:highlight w:val="none"/>
          <w:u w:val="single"/>
        </w:rPr>
        <w:t xml:space="preserve">                            </w:t>
      </w:r>
    </w:p>
    <w:p>
      <w:pPr>
        <w:pStyle w:val="13"/>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成立时间：</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年</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月</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日</w:t>
      </w:r>
    </w:p>
    <w:p>
      <w:pPr>
        <w:pStyle w:val="13"/>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经营期限：</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w:t>
      </w:r>
    </w:p>
    <w:p>
      <w:pPr>
        <w:pStyle w:val="13"/>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姓名：</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性别：</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年龄：</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身份证号码：</w:t>
      </w:r>
      <w:r>
        <w:rPr>
          <w:rFonts w:hint="eastAsia" w:ascii="仿宋_GB2312" w:hAnsi="宋体" w:eastAsia="仿宋_GB2312" w:cs="Times New Roman"/>
          <w:color w:val="auto"/>
          <w:sz w:val="30"/>
          <w:szCs w:val="30"/>
          <w:highlight w:val="none"/>
          <w:u w:val="single"/>
        </w:rPr>
        <w:t xml:space="preserve">          </w:t>
      </w:r>
    </w:p>
    <w:p>
      <w:pPr>
        <w:pStyle w:val="13"/>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职务：</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系</w:t>
      </w:r>
      <w:r>
        <w:rPr>
          <w:rFonts w:hint="eastAsia" w:ascii="仿宋_GB2312" w:hAnsi="宋体" w:eastAsia="仿宋_GB2312" w:cs="Times New Roman"/>
          <w:color w:val="auto"/>
          <w:sz w:val="30"/>
          <w:szCs w:val="30"/>
          <w:highlight w:val="none"/>
          <w:u w:val="single"/>
        </w:rPr>
        <w:t xml:space="preserve">     (供应商名称)       </w:t>
      </w:r>
      <w:r>
        <w:rPr>
          <w:rFonts w:hint="eastAsia" w:ascii="仿宋_GB2312" w:hAnsi="宋体" w:eastAsia="仿宋_GB2312" w:cs="Times New Roman"/>
          <w:color w:val="auto"/>
          <w:sz w:val="30"/>
          <w:szCs w:val="30"/>
          <w:highlight w:val="none"/>
        </w:rPr>
        <w:t xml:space="preserve"> 的法定代表人。</w:t>
      </w:r>
    </w:p>
    <w:p>
      <w:pPr>
        <w:pStyle w:val="13"/>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特此证明。</w:t>
      </w:r>
    </w:p>
    <w:p>
      <w:pPr>
        <w:adjustRightInd w:val="0"/>
        <w:snapToGrid w:val="0"/>
        <w:spacing w:line="600" w:lineRule="exact"/>
        <w:ind w:firstLine="702" w:firstLineChars="234"/>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附：法定代表人身份证(正反两面)复印件</w:t>
      </w:r>
    </w:p>
    <w:p>
      <w:pPr>
        <w:pStyle w:val="13"/>
        <w:snapToGrid w:val="0"/>
        <w:spacing w:line="600" w:lineRule="exact"/>
        <w:ind w:firstLine="3907" w:firstLineChars="1221"/>
        <w:rPr>
          <w:rFonts w:ascii="仿宋_GB2312" w:hAnsi="宋体" w:eastAsia="仿宋_GB2312" w:cs="Times New Roman"/>
          <w:color w:val="auto"/>
          <w:sz w:val="32"/>
          <w:szCs w:val="32"/>
          <w:highlight w:val="none"/>
        </w:rPr>
      </w:pPr>
    </w:p>
    <w:p>
      <w:pPr>
        <w:pStyle w:val="13"/>
        <w:snapToGrid w:val="0"/>
        <w:spacing w:line="600" w:lineRule="exact"/>
        <w:ind w:firstLine="3663" w:firstLineChars="1221"/>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供应商：</w:t>
      </w:r>
      <w:r>
        <w:rPr>
          <w:rFonts w:hint="eastAsia" w:ascii="仿宋_GB2312" w:hAnsi="宋体" w:eastAsia="仿宋_GB2312" w:cs="Times New Roman"/>
          <w:color w:val="auto"/>
          <w:sz w:val="30"/>
          <w:szCs w:val="30"/>
          <w:highlight w:val="none"/>
          <w:u w:val="single"/>
        </w:rPr>
        <w:t xml:space="preserve">       (盖单位章)      </w:t>
      </w:r>
    </w:p>
    <w:p>
      <w:pPr>
        <w:widowControl/>
        <w:adjustRightInd w:val="0"/>
        <w:snapToGrid w:val="0"/>
        <w:spacing w:line="600" w:lineRule="exact"/>
        <w:jc w:val="right"/>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日  期：</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年</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月</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日</w:t>
      </w:r>
    </w:p>
    <w:p>
      <w:pPr>
        <w:widowControl/>
        <w:adjustRightInd w:val="0"/>
        <w:snapToGrid w:val="0"/>
        <w:spacing w:line="600" w:lineRule="exact"/>
        <w:jc w:val="left"/>
        <w:rPr>
          <w:rFonts w:ascii="仿宋_GB2312" w:hAnsi="宋体" w:eastAsia="仿宋_GB2312" w:cs="宋体"/>
          <w:color w:val="auto"/>
          <w:kern w:val="0"/>
          <w:sz w:val="28"/>
          <w:szCs w:val="28"/>
          <w:highlight w:val="none"/>
        </w:rPr>
      </w:pPr>
      <w:r>
        <w:rPr>
          <w:rFonts w:ascii="仿宋_GB2312" w:hAnsi="宋体" w:eastAsia="仿宋_GB2312" w:cs="宋体"/>
          <w:color w:val="auto"/>
          <w:kern w:val="0"/>
          <w:sz w:val="28"/>
          <w:szCs w:val="28"/>
          <w:highlight w:val="none"/>
        </w:rPr>
        <w:pict>
          <v:shape id="文本框 2" o:spid="_x0000_s2060" o:spt="202" type="#_x0000_t202" style="position:absolute;left:0pt;margin-left:32pt;margin-top:14.8pt;height:101.4pt;width:297pt;mso-wrap-distance-bottom:0pt;mso-wrap-distance-left:9pt;mso-wrap-distance-right:9pt;mso-wrap-distance-top:0pt;z-index:251670528;mso-width-relative:page;mso-height-relative:page;" coordsize="21600,21600" o:gfxdata="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cZN1XdcAAAAJAQAADwAAAAAAAAABACAAAAAiAAAAZHJzL2Rvd25yZXYueG1sUEsBAhQA&#10;FAAAAAgAh07iQLb6D/osAgAASAQAAA4AAAAAAAAAAQAgAAAAJgEAAGRycy9lMm9Eb2MueG1sUEsF&#10;BgAAAAAGAAYAWQEAAMQFAAAAAA==&#10;">
            <v:path/>
            <v:fill focussize="0,0"/>
            <v:stroke joinstyle="miter"/>
            <v:imagedata o:title=""/>
            <o:lock v:ext="edit"/>
            <v:textbo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v:textbox>
            <w10:wrap type="square"/>
          </v:shape>
        </w:pict>
      </w:r>
    </w:p>
    <w:p>
      <w:pPr>
        <w:widowControl/>
        <w:adjustRightInd w:val="0"/>
        <w:snapToGrid w:val="0"/>
        <w:spacing w:line="600" w:lineRule="exact"/>
        <w:jc w:val="left"/>
        <w:rPr>
          <w:rFonts w:ascii="仿宋_GB2312" w:hAnsi="宋体" w:eastAsia="仿宋_GB2312" w:cs="宋体"/>
          <w:color w:val="auto"/>
          <w:kern w:val="0"/>
          <w:sz w:val="28"/>
          <w:szCs w:val="28"/>
          <w:highlight w:val="none"/>
        </w:rPr>
      </w:pPr>
    </w:p>
    <w:p>
      <w:pPr>
        <w:widowControl/>
        <w:adjustRightInd w:val="0"/>
        <w:snapToGrid w:val="0"/>
        <w:spacing w:line="600" w:lineRule="exact"/>
        <w:jc w:val="left"/>
        <w:rPr>
          <w:rFonts w:ascii="仿宋_GB2312" w:hAnsi="宋体" w:eastAsia="仿宋_GB2312" w:cs="宋体"/>
          <w:color w:val="auto"/>
          <w:kern w:val="0"/>
          <w:sz w:val="28"/>
          <w:szCs w:val="28"/>
          <w:highlight w:val="none"/>
        </w:rPr>
      </w:pPr>
    </w:p>
    <w:p>
      <w:pPr>
        <w:widowControl/>
        <w:adjustRightInd w:val="0"/>
        <w:snapToGrid w:val="0"/>
        <w:spacing w:line="600" w:lineRule="exact"/>
        <w:jc w:val="left"/>
        <w:rPr>
          <w:rFonts w:ascii="仿宋_GB2312" w:hAnsi="宋体" w:eastAsia="仿宋_GB2312" w:cs="宋体"/>
          <w:color w:val="auto"/>
          <w:kern w:val="0"/>
          <w:sz w:val="28"/>
          <w:szCs w:val="28"/>
          <w:highlight w:val="none"/>
        </w:rPr>
      </w:pPr>
    </w:p>
    <w:p>
      <w:pPr>
        <w:adjustRightInd w:val="0"/>
        <w:snapToGrid w:val="0"/>
        <w:spacing w:line="600" w:lineRule="exact"/>
        <w:ind w:firstLine="480"/>
        <w:rPr>
          <w:rFonts w:ascii="仿宋_GB2312" w:eastAsia="仿宋_GB2312"/>
          <w:color w:val="auto"/>
          <w:highlight w:val="none"/>
        </w:rPr>
      </w:pPr>
      <w:r>
        <w:rPr>
          <w:rFonts w:hint="eastAsia" w:ascii="仿宋_GB2312" w:hAnsi="宋体" w:eastAsia="仿宋_GB2312"/>
          <w:color w:val="auto"/>
          <w:kern w:val="0"/>
          <w:szCs w:val="21"/>
          <w:highlight w:val="none"/>
        </w:rPr>
        <w:t>注：法定代表人证明书亦可采用工商行政管理局统一制订的格式。</w:t>
      </w:r>
    </w:p>
    <w:p>
      <w:pPr>
        <w:spacing w:line="360" w:lineRule="auto"/>
        <w:rPr>
          <w:color w:val="auto"/>
          <w:highlight w:val="none"/>
        </w:rPr>
      </w:pPr>
      <w:r>
        <w:rPr>
          <w:rFonts w:hint="eastAsia" w:ascii="宋体" w:hAnsi="宋体" w:cs="宋体"/>
          <w:color w:val="auto"/>
          <w:kern w:val="0"/>
          <w:sz w:val="28"/>
          <w:szCs w:val="28"/>
          <w:highlight w:val="none"/>
        </w:rPr>
        <w:br w:type="page"/>
      </w:r>
      <w:r>
        <w:rPr>
          <w:rFonts w:hint="eastAsia" w:ascii="仿宋_GB2312" w:hAnsi="黑体" w:eastAsia="仿宋_GB2312"/>
          <w:color w:val="auto"/>
          <w:sz w:val="28"/>
          <w:szCs w:val="28"/>
          <w:highlight w:val="none"/>
        </w:rPr>
        <w:t>2.2法人授权委托书</w:t>
      </w:r>
    </w:p>
    <w:p>
      <w:pPr>
        <w:adjustRightInd w:val="0"/>
        <w:snapToGrid w:val="0"/>
        <w:spacing w:beforeLines="50" w:afterLines="50" w:line="600" w:lineRule="exact"/>
        <w:jc w:val="center"/>
        <w:rPr>
          <w:rFonts w:ascii="方正小标宋简体" w:hAnsi="Times New Roman" w:eastAsia="方正小标宋简体" w:cs="Tahoma"/>
          <w:color w:val="auto"/>
          <w:kern w:val="0"/>
          <w:sz w:val="44"/>
          <w:szCs w:val="44"/>
          <w:highlight w:val="none"/>
        </w:rPr>
      </w:pPr>
      <w:r>
        <w:rPr>
          <w:rFonts w:hint="eastAsia" w:ascii="方正小标宋简体" w:hAnsi="Times New Roman" w:eastAsia="方正小标宋简体" w:cs="Tahoma"/>
          <w:color w:val="auto"/>
          <w:kern w:val="0"/>
          <w:sz w:val="44"/>
          <w:szCs w:val="44"/>
          <w:highlight w:val="none"/>
        </w:rPr>
        <w:t>法定代表人授权委托书</w:t>
      </w:r>
    </w:p>
    <w:p>
      <w:pPr>
        <w:adjustRightInd w:val="0"/>
        <w:snapToGrid w:val="0"/>
        <w:spacing w:line="600" w:lineRule="exact"/>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本人</w:t>
      </w:r>
      <w:r>
        <w:rPr>
          <w:rFonts w:hint="eastAsia" w:ascii="仿宋_GB2312" w:hAnsi="宋体" w:eastAsia="仿宋_GB2312"/>
          <w:color w:val="auto"/>
          <w:sz w:val="30"/>
          <w:szCs w:val="30"/>
          <w:highlight w:val="none"/>
          <w:u w:val="single"/>
        </w:rPr>
        <w:t xml:space="preserve">   (姓名)    </w:t>
      </w:r>
      <w:r>
        <w:rPr>
          <w:rFonts w:hint="eastAsia" w:ascii="仿宋_GB2312" w:hAnsi="宋体" w:eastAsia="仿宋_GB2312"/>
          <w:color w:val="auto"/>
          <w:sz w:val="30"/>
          <w:szCs w:val="30"/>
          <w:highlight w:val="none"/>
        </w:rPr>
        <w:t>系</w:t>
      </w:r>
      <w:r>
        <w:rPr>
          <w:rFonts w:hint="eastAsia" w:ascii="仿宋_GB2312" w:hAnsi="宋体" w:eastAsia="仿宋_GB2312"/>
          <w:color w:val="auto"/>
          <w:sz w:val="30"/>
          <w:szCs w:val="30"/>
          <w:highlight w:val="none"/>
          <w:u w:val="single"/>
        </w:rPr>
        <w:t xml:space="preserve">        (供应商名称)          </w:t>
      </w:r>
      <w:r>
        <w:rPr>
          <w:rFonts w:hint="eastAsia" w:ascii="仿宋_GB2312" w:hAnsi="宋体" w:eastAsia="仿宋_GB2312"/>
          <w:color w:val="auto"/>
          <w:sz w:val="30"/>
          <w:szCs w:val="30"/>
          <w:highlight w:val="none"/>
        </w:rPr>
        <w:t>的法定代表人，现授权</w:t>
      </w:r>
      <w:r>
        <w:rPr>
          <w:rFonts w:hint="eastAsia" w:ascii="仿宋_GB2312" w:hAnsi="宋体" w:eastAsia="仿宋_GB2312"/>
          <w:color w:val="auto"/>
          <w:sz w:val="30"/>
          <w:szCs w:val="30"/>
          <w:highlight w:val="none"/>
          <w:u w:val="single"/>
        </w:rPr>
        <w:t xml:space="preserve">   (姓名)   </w:t>
      </w:r>
      <w:r>
        <w:rPr>
          <w:rFonts w:hint="eastAsia" w:ascii="仿宋_GB2312" w:hAnsi="宋体" w:eastAsia="仿宋_GB2312"/>
          <w:color w:val="auto"/>
          <w:sz w:val="30"/>
          <w:szCs w:val="30"/>
          <w:highlight w:val="none"/>
        </w:rPr>
        <w:t>为我方代理人。代理人根据授权，以我方名义签署、澄清、说明、提交、撤回、修改</w:t>
      </w:r>
      <w:r>
        <w:rPr>
          <w:rFonts w:hint="eastAsia" w:ascii="仿宋_GB2312" w:hAnsi="宋体" w:eastAsia="仿宋_GB2312"/>
          <w:color w:val="auto"/>
          <w:sz w:val="30"/>
          <w:szCs w:val="30"/>
          <w:highlight w:val="none"/>
          <w:u w:val="single"/>
        </w:rPr>
        <w:t xml:space="preserve"> （项目名称、项目编号、标段/标包号）  </w:t>
      </w:r>
      <w:r>
        <w:rPr>
          <w:rFonts w:hint="eastAsia" w:ascii="仿宋_GB2312" w:hAnsi="宋体" w:eastAsia="仿宋_GB2312"/>
          <w:color w:val="auto"/>
          <w:sz w:val="30"/>
          <w:szCs w:val="30"/>
          <w:highlight w:val="none"/>
        </w:rPr>
        <w:t>的响应文件、签订合同和处理有关事宜，其法律后果由我方承担。</w:t>
      </w:r>
    </w:p>
    <w:p>
      <w:pPr>
        <w:adjustRightInd w:val="0"/>
        <w:snapToGrid w:val="0"/>
        <w:spacing w:line="600" w:lineRule="exact"/>
        <w:ind w:firstLine="59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委托期限：</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w:t>
      </w:r>
    </w:p>
    <w:p>
      <w:pPr>
        <w:adjustRightInd w:val="0"/>
        <w:snapToGrid w:val="0"/>
        <w:spacing w:line="600" w:lineRule="exact"/>
        <w:ind w:firstLine="59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代理人无转委托权。</w:t>
      </w:r>
    </w:p>
    <w:p>
      <w:pPr>
        <w:adjustRightInd w:val="0"/>
        <w:snapToGrid w:val="0"/>
        <w:spacing w:line="600" w:lineRule="exact"/>
        <w:ind w:firstLine="59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附：</w:t>
      </w:r>
      <w:r>
        <w:rPr>
          <w:rFonts w:hint="eastAsia" w:ascii="仿宋_GB2312" w:hAnsi="宋体" w:eastAsia="仿宋_GB2312"/>
          <w:color w:val="auto"/>
          <w:sz w:val="30"/>
          <w:szCs w:val="30"/>
          <w:highlight w:val="none"/>
          <w:lang w:val="en-US" w:eastAsia="zh-CN"/>
        </w:rPr>
        <w:t>1.</w:t>
      </w:r>
      <w:r>
        <w:rPr>
          <w:rFonts w:hint="eastAsia" w:ascii="仿宋_GB2312" w:hAnsi="宋体" w:eastAsia="仿宋_GB2312"/>
          <w:color w:val="auto"/>
          <w:sz w:val="30"/>
          <w:szCs w:val="30"/>
          <w:highlight w:val="none"/>
        </w:rPr>
        <w:t>委托代理人身份证(正反两面)复印件</w:t>
      </w:r>
    </w:p>
    <w:p>
      <w:pPr>
        <w:pStyle w:val="36"/>
        <w:ind w:firstLine="1200" w:firstLineChars="400"/>
        <w:rPr>
          <w:rFonts w:hint="eastAsia" w:ascii="仿宋_GB2312" w:hAnsi="宋体" w:eastAsia="仿宋_GB2312"/>
          <w:color w:val="auto"/>
          <w:sz w:val="30"/>
          <w:szCs w:val="30"/>
          <w:highlight w:val="none"/>
          <w:lang w:val="en-US" w:eastAsia="zh-CN"/>
        </w:rPr>
      </w:pPr>
      <w:r>
        <w:rPr>
          <w:rFonts w:hint="eastAsia" w:ascii="仿宋_GB2312" w:hAnsi="宋体" w:eastAsia="仿宋_GB2312"/>
          <w:color w:val="auto"/>
          <w:sz w:val="30"/>
          <w:szCs w:val="30"/>
          <w:highlight w:val="none"/>
          <w:lang w:val="en-US" w:eastAsia="zh-CN"/>
        </w:rPr>
        <w:t>2.提供授权委托人在本单位近三个月社保记录（以加盖社会保险基金管理中心印章的《缴费历史明细表》或《社会保险参保人员证明》为准），否则为无效代理人，询价响应文件无效。</w:t>
      </w:r>
    </w:p>
    <w:p>
      <w:pPr>
        <w:pStyle w:val="13"/>
        <w:snapToGrid w:val="0"/>
        <w:spacing w:line="600" w:lineRule="exact"/>
        <w:ind w:firstLine="3618" w:firstLineChars="1005"/>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pacing w:val="30"/>
          <w:sz w:val="30"/>
          <w:szCs w:val="30"/>
          <w:highlight w:val="none"/>
        </w:rPr>
        <w:t>供应商</w:t>
      </w:r>
      <w:r>
        <w:rPr>
          <w:rFonts w:hint="eastAsia" w:ascii="仿宋_GB2312" w:hAnsi="宋体" w:eastAsia="仿宋_GB2312" w:cs="Times New Roman"/>
          <w:color w:val="auto"/>
          <w:sz w:val="30"/>
          <w:szCs w:val="30"/>
          <w:highlight w:val="none"/>
        </w:rPr>
        <w:t>：</w:t>
      </w:r>
      <w:r>
        <w:rPr>
          <w:rFonts w:hint="eastAsia" w:ascii="仿宋_GB2312" w:hAnsi="宋体" w:eastAsia="仿宋_GB2312" w:cs="Times New Roman"/>
          <w:color w:val="auto"/>
          <w:sz w:val="30"/>
          <w:szCs w:val="30"/>
          <w:highlight w:val="none"/>
          <w:u w:val="single"/>
        </w:rPr>
        <w:t xml:space="preserve">      (单位公章)         </w:t>
      </w:r>
    </w:p>
    <w:p>
      <w:pPr>
        <w:pStyle w:val="13"/>
        <w:snapToGrid w:val="0"/>
        <w:spacing w:line="600" w:lineRule="exact"/>
        <w:ind w:firstLine="3600" w:firstLineChars="1200"/>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法定代表人：</w:t>
      </w:r>
      <w:r>
        <w:rPr>
          <w:rFonts w:hint="eastAsia" w:ascii="仿宋_GB2312" w:hAnsi="宋体" w:eastAsia="仿宋_GB2312" w:cs="Times New Roman"/>
          <w:color w:val="auto"/>
          <w:sz w:val="30"/>
          <w:szCs w:val="30"/>
          <w:highlight w:val="none"/>
          <w:u w:val="single"/>
        </w:rPr>
        <w:t xml:space="preserve">       (签字)            </w:t>
      </w:r>
    </w:p>
    <w:p>
      <w:pPr>
        <w:pStyle w:val="13"/>
        <w:snapToGrid w:val="0"/>
        <w:spacing w:line="600" w:lineRule="exact"/>
        <w:ind w:firstLine="3600" w:firstLineChars="1200"/>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委托代理人：</w:t>
      </w:r>
      <w:r>
        <w:rPr>
          <w:rFonts w:hint="eastAsia" w:ascii="仿宋_GB2312" w:hAnsi="宋体" w:eastAsia="仿宋_GB2312" w:cs="Times New Roman"/>
          <w:color w:val="auto"/>
          <w:sz w:val="30"/>
          <w:szCs w:val="30"/>
          <w:highlight w:val="none"/>
          <w:u w:val="single"/>
        </w:rPr>
        <w:t xml:space="preserve">       (签字)            </w:t>
      </w:r>
    </w:p>
    <w:p>
      <w:pPr>
        <w:widowControl/>
        <w:adjustRightInd w:val="0"/>
        <w:snapToGrid w:val="0"/>
        <w:spacing w:line="600" w:lineRule="exact"/>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 xml:space="preserve">                        日    期：</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年</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月</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日</w:t>
      </w:r>
    </w:p>
    <w:p>
      <w:pPr>
        <w:pStyle w:val="22"/>
        <w:rPr>
          <w:rFonts w:hint="eastAsia" w:ascii="仿宋_GB2312" w:hAnsi="宋体" w:eastAsia="仿宋_GB2312"/>
          <w:color w:val="auto"/>
          <w:sz w:val="30"/>
          <w:szCs w:val="30"/>
          <w:highlight w:val="none"/>
        </w:rPr>
      </w:pPr>
    </w:p>
    <w:p>
      <w:pPr>
        <w:pStyle w:val="22"/>
        <w:rPr>
          <w:rFonts w:hint="eastAsia" w:ascii="仿宋_GB2312" w:hAnsi="宋体" w:eastAsia="仿宋_GB2312"/>
          <w:color w:val="auto"/>
          <w:sz w:val="30"/>
          <w:szCs w:val="30"/>
          <w:highlight w:val="none"/>
        </w:rPr>
      </w:pPr>
    </w:p>
    <w:p>
      <w:pPr>
        <w:pStyle w:val="22"/>
        <w:rPr>
          <w:rFonts w:hint="eastAsia" w:ascii="仿宋_GB2312" w:hAnsi="宋体" w:eastAsia="仿宋_GB2312"/>
          <w:color w:val="auto"/>
          <w:sz w:val="30"/>
          <w:szCs w:val="30"/>
          <w:highlight w:val="none"/>
        </w:rPr>
      </w:pPr>
    </w:p>
    <w:p>
      <w:pPr>
        <w:pStyle w:val="22"/>
        <w:rPr>
          <w:rFonts w:hint="eastAsia" w:ascii="仿宋_GB2312" w:hAnsi="宋体" w:eastAsia="仿宋_GB2312"/>
          <w:color w:val="auto"/>
          <w:sz w:val="30"/>
          <w:szCs w:val="30"/>
          <w:highlight w:val="none"/>
        </w:rPr>
      </w:pPr>
    </w:p>
    <w:p>
      <w:pPr>
        <w:pStyle w:val="2"/>
        <w:spacing w:after="0" w:line="600" w:lineRule="exact"/>
        <w:rPr>
          <w:rFonts w:ascii="仿宋_GB2312" w:eastAsia="仿宋_GB2312"/>
          <w:color w:val="auto"/>
          <w:highlight w:val="none"/>
        </w:rPr>
      </w:pPr>
      <w:r>
        <w:rPr>
          <w:rFonts w:ascii="仿宋_GB2312" w:eastAsia="仿宋_GB2312"/>
          <w:color w:val="auto"/>
          <w:sz w:val="44"/>
          <w:szCs w:val="44"/>
          <w:highlight w:val="none"/>
          <w:u w:val="single"/>
        </w:rPr>
        <w:pict>
          <v:shape id="_x0000_s2061" o:spid="_x0000_s2061" o:spt="202" type="#_x0000_t202" style="position:absolute;left:0pt;margin-left:48.5pt;margin-top:15.75pt;height:101.4pt;width:297pt;mso-wrap-distance-bottom:0pt;mso-wrap-distance-left:9pt;mso-wrap-distance-right:9pt;mso-wrap-distance-top:0pt;z-index:251671552;mso-width-relative:page;mso-height-relative:page;" coordsize="21600,21600" o:gfxdata="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cZN1XdcAAAAJAQAADwAAAAAAAAABACAAAAAiAAAAZHJzL2Rvd25yZXYueG1sUEsBAhQA&#10;FAAAAAgAh07iQLb6D/osAgAASAQAAA4AAAAAAAAAAQAgAAAAJgEAAGRycy9lMm9Eb2MueG1sUEsF&#10;BgAAAAAGAAYAWQEAAMQFAAAAAA==&#10;">
            <v:path/>
            <v:fill focussize="0,0"/>
            <v:stroke joinstyle="miter"/>
            <v:imagedata o:title=""/>
            <o:lock v:ext="edit"/>
            <v:textbo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v:textbox>
            <w10:wrap type="square"/>
          </v:shape>
        </w:pict>
      </w:r>
    </w:p>
    <w:p>
      <w:pPr>
        <w:pStyle w:val="2"/>
        <w:spacing w:after="0" w:line="600" w:lineRule="exact"/>
        <w:rPr>
          <w:rFonts w:ascii="仿宋_GB2312" w:eastAsia="仿宋_GB2312"/>
          <w:color w:val="auto"/>
          <w:highlight w:val="none"/>
        </w:rPr>
      </w:pPr>
    </w:p>
    <w:p>
      <w:pPr>
        <w:pStyle w:val="2"/>
        <w:spacing w:after="0" w:line="600" w:lineRule="exact"/>
        <w:rPr>
          <w:rFonts w:ascii="仿宋_GB2312" w:eastAsia="仿宋_GB2312"/>
          <w:color w:val="auto"/>
          <w:highlight w:val="none"/>
        </w:rPr>
      </w:pPr>
    </w:p>
    <w:p>
      <w:pPr>
        <w:pStyle w:val="2"/>
        <w:spacing w:after="0" w:line="600" w:lineRule="exact"/>
        <w:ind w:firstLine="0"/>
        <w:rPr>
          <w:rFonts w:ascii="仿宋_GB2312" w:eastAsia="仿宋_GB2312"/>
          <w:color w:val="auto"/>
          <w:highlight w:val="none"/>
        </w:rPr>
      </w:pPr>
    </w:p>
    <w:p>
      <w:pPr>
        <w:pStyle w:val="2"/>
        <w:spacing w:after="0" w:line="600" w:lineRule="exact"/>
        <w:rPr>
          <w:rFonts w:ascii="仿宋_GB2312" w:eastAsia="仿宋_GB2312"/>
          <w:color w:val="auto"/>
          <w:highlight w:val="none"/>
        </w:rPr>
      </w:pPr>
    </w:p>
    <w:p>
      <w:pPr>
        <w:adjustRightInd w:val="0"/>
        <w:snapToGrid w:val="0"/>
        <w:spacing w:line="600" w:lineRule="exact"/>
        <w:ind w:firstLine="480"/>
        <w:rPr>
          <w:rFonts w:hint="eastAsia" w:ascii="仿宋_GB2312" w:hAnsi="宋体" w:eastAsia="仿宋_GB2312"/>
          <w:color w:val="auto"/>
          <w:kern w:val="0"/>
          <w:szCs w:val="21"/>
          <w:highlight w:val="none"/>
        </w:rPr>
      </w:pPr>
      <w:r>
        <w:rPr>
          <w:rFonts w:hint="eastAsia" w:ascii="仿宋_GB2312" w:hAnsi="宋体" w:eastAsia="仿宋_GB2312"/>
          <w:color w:val="auto"/>
          <w:kern w:val="0"/>
          <w:szCs w:val="21"/>
          <w:highlight w:val="none"/>
        </w:rPr>
        <w:t>注：法人授权委托书亦可采用工商行政管理局统一制订的格式。</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6" w:hRule="atLeast"/>
        </w:trPr>
        <w:tc>
          <w:tcPr>
            <w:tcW w:w="9608" w:type="dxa"/>
            <w:noWrap w:val="0"/>
            <w:vAlign w:val="top"/>
          </w:tcPr>
          <w:p>
            <w:pPr>
              <w:spacing w:line="360" w:lineRule="auto"/>
              <w:jc w:val="both"/>
              <w:rPr>
                <w:rFonts w:hint="eastAsia" w:ascii="宋体" w:hAnsi="宋体" w:eastAsia="宋体" w:cs="Times New Roman"/>
                <w:color w:val="auto"/>
                <w:sz w:val="24"/>
                <w:szCs w:val="24"/>
                <w:highlight w:val="none"/>
              </w:rPr>
            </w:pPr>
          </w:p>
          <w:p>
            <w:pPr>
              <w:spacing w:line="360" w:lineRule="auto"/>
              <w:jc w:val="center"/>
              <w:rPr>
                <w:rFonts w:hint="eastAsia" w:ascii="宋体" w:hAnsi="宋体" w:eastAsia="宋体" w:cs="Times New Roman"/>
                <w:color w:val="auto"/>
                <w:sz w:val="24"/>
                <w:szCs w:val="24"/>
                <w:highlight w:val="none"/>
              </w:rPr>
            </w:pPr>
          </w:p>
          <w:p>
            <w:pPr>
              <w:spacing w:line="360" w:lineRule="auto"/>
              <w:jc w:val="center"/>
              <w:rPr>
                <w:rFonts w:hint="eastAsia" w:ascii="宋体" w:hAnsi="宋体"/>
                <w:color w:val="auto"/>
                <w:sz w:val="24"/>
                <w:szCs w:val="24"/>
                <w:highlight w:val="none"/>
                <w:lang w:val="en-US" w:eastAsia="zh-CN"/>
              </w:rPr>
            </w:pPr>
            <w:r>
              <w:rPr>
                <w:rFonts w:hint="eastAsia" w:ascii="宋体" w:hAnsi="宋体" w:cs="Times New Roman"/>
                <w:color w:val="auto"/>
                <w:sz w:val="24"/>
                <w:szCs w:val="24"/>
                <w:highlight w:val="none"/>
                <w:lang w:eastAsia="zh-CN"/>
              </w:rPr>
              <w:t>授权代理人在本单位近三个月社保记录，（以加盖社会保险基金管理中心印章的《缴费历史明细表》或《社会保险参保人员证明》为准，</w:t>
            </w:r>
            <w:r>
              <w:rPr>
                <w:rFonts w:hint="eastAsia" w:ascii="宋体" w:hAnsi="宋体" w:cs="Times New Roman"/>
                <w:color w:val="auto"/>
                <w:sz w:val="24"/>
                <w:szCs w:val="24"/>
                <w:highlight w:val="none"/>
                <w:lang w:val="en-US" w:eastAsia="zh-CN"/>
              </w:rPr>
              <w:t>加</w:t>
            </w:r>
            <w:r>
              <w:rPr>
                <w:rFonts w:hint="eastAsia" w:ascii="宋体" w:hAnsi="宋体"/>
                <w:color w:val="auto"/>
                <w:sz w:val="24"/>
                <w:szCs w:val="24"/>
                <w:highlight w:val="none"/>
                <w:lang w:val="en-US" w:eastAsia="zh-CN"/>
              </w:rPr>
              <w:t>盖单位公章</w:t>
            </w:r>
          </w:p>
          <w:p>
            <w:pPr>
              <w:spacing w:line="360" w:lineRule="auto"/>
              <w:jc w:val="center"/>
              <w:rPr>
                <w:rFonts w:hint="eastAsia" w:ascii="宋体" w:hAnsi="宋体"/>
                <w:color w:val="auto"/>
                <w:sz w:val="24"/>
                <w:szCs w:val="24"/>
                <w:highlight w:val="none"/>
                <w:lang w:val="en-US" w:eastAsia="zh-CN"/>
              </w:rPr>
            </w:pPr>
          </w:p>
          <w:p>
            <w:pPr>
              <w:spacing w:line="360" w:lineRule="auto"/>
              <w:jc w:val="left"/>
              <w:rPr>
                <w:rFonts w:ascii="宋体" w:hAnsi="宋体"/>
                <w:color w:val="auto"/>
                <w:sz w:val="24"/>
                <w:szCs w:val="24"/>
                <w:highlight w:val="none"/>
              </w:rPr>
            </w:pPr>
          </w:p>
          <w:p>
            <w:pPr>
              <w:spacing w:line="360" w:lineRule="auto"/>
              <w:jc w:val="left"/>
              <w:rPr>
                <w:rFonts w:ascii="宋体" w:hAnsi="宋体"/>
                <w:color w:val="auto"/>
                <w:sz w:val="24"/>
                <w:szCs w:val="24"/>
                <w:highlight w:val="none"/>
              </w:rPr>
            </w:pPr>
          </w:p>
        </w:tc>
      </w:tr>
    </w:tbl>
    <w:p>
      <w:pPr>
        <w:spacing w:line="440" w:lineRule="exact"/>
        <w:ind w:firstLine="859" w:firstLineChars="307"/>
        <w:rPr>
          <w:rFonts w:ascii="仿宋" w:hAnsi="仿宋" w:eastAsia="仿宋" w:cs="仿宋_GB2312"/>
          <w:color w:val="auto"/>
          <w:sz w:val="28"/>
          <w:szCs w:val="28"/>
          <w:highlight w:val="none"/>
        </w:rPr>
      </w:pPr>
    </w:p>
    <w:p>
      <w:pPr>
        <w:spacing w:line="480" w:lineRule="exact"/>
        <w:ind w:firstLine="843" w:firstLineChars="300"/>
        <w:rPr>
          <w:rFonts w:ascii="仿宋" w:hAnsi="仿宋" w:eastAsia="仿宋" w:cs="仿宋_GB2312"/>
          <w:b/>
          <w:color w:val="auto"/>
          <w:sz w:val="28"/>
          <w:szCs w:val="28"/>
          <w:highlight w:val="none"/>
        </w:rPr>
      </w:pPr>
    </w:p>
    <w:p>
      <w:pPr>
        <w:pStyle w:val="22"/>
        <w:rPr>
          <w:color w:val="auto"/>
          <w:highlight w:val="none"/>
        </w:rPr>
      </w:pPr>
    </w:p>
    <w:p>
      <w:pPr>
        <w:pStyle w:val="22"/>
        <w:rPr>
          <w:color w:val="auto"/>
          <w:highlight w:val="none"/>
        </w:rPr>
      </w:pPr>
    </w:p>
    <w:p>
      <w:pPr>
        <w:pStyle w:val="22"/>
        <w:rPr>
          <w:color w:val="auto"/>
          <w:highlight w:val="none"/>
        </w:rPr>
      </w:pPr>
    </w:p>
    <w:p>
      <w:pPr>
        <w:pStyle w:val="22"/>
        <w:rPr>
          <w:color w:val="auto"/>
          <w:highlight w:val="none"/>
        </w:rPr>
      </w:pPr>
    </w:p>
    <w:p>
      <w:pPr>
        <w:pStyle w:val="5"/>
        <w:rPr>
          <w:rFonts w:asciiTheme="minorEastAsia" w:hAnsiTheme="minorEastAsia" w:eastAsiaTheme="minorEastAsia"/>
          <w:color w:val="auto"/>
          <w:sz w:val="28"/>
          <w:szCs w:val="28"/>
          <w:highlight w:val="none"/>
        </w:rPr>
      </w:pPr>
      <w:r>
        <w:rPr>
          <w:rFonts w:hint="eastAsia" w:ascii="仿宋_GB2312" w:eastAsia="仿宋_GB2312" w:hAnsiTheme="minorEastAsia"/>
          <w:color w:val="auto"/>
          <w:sz w:val="28"/>
          <w:szCs w:val="28"/>
          <w:highlight w:val="none"/>
        </w:rPr>
        <w:t xml:space="preserve"> </w:t>
      </w:r>
      <w:bookmarkStart w:id="157" w:name="_Toc88209963"/>
      <w:bookmarkStart w:id="158" w:name="_Toc8086"/>
      <w:bookmarkStart w:id="159" w:name="_Toc87616400"/>
      <w:bookmarkStart w:id="160" w:name="_Toc19830"/>
      <w:r>
        <w:rPr>
          <w:rFonts w:hint="eastAsia" w:ascii="仿宋_GB2312" w:eastAsia="仿宋_GB2312" w:hAnsiTheme="minorEastAsia"/>
          <w:color w:val="auto"/>
          <w:sz w:val="28"/>
          <w:szCs w:val="28"/>
          <w:highlight w:val="none"/>
          <w:lang w:val="en-US" w:eastAsia="zh-CN"/>
        </w:rPr>
        <w:t>3</w:t>
      </w:r>
      <w:r>
        <w:rPr>
          <w:rFonts w:hint="eastAsia" w:asciiTheme="minorEastAsia" w:hAnsiTheme="minorEastAsia" w:eastAsiaTheme="minorEastAsia"/>
          <w:color w:val="auto"/>
          <w:sz w:val="28"/>
          <w:szCs w:val="28"/>
          <w:highlight w:val="none"/>
        </w:rPr>
        <w:t>.资格审查资料</w:t>
      </w:r>
      <w:bookmarkEnd w:id="157"/>
      <w:bookmarkEnd w:id="158"/>
      <w:bookmarkEnd w:id="159"/>
      <w:bookmarkEnd w:id="160"/>
    </w:p>
    <w:p>
      <w:pPr>
        <w:spacing w:line="360" w:lineRule="auto"/>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val="en-US" w:eastAsia="zh-CN"/>
        </w:rPr>
        <w:t>3</w:t>
      </w:r>
      <w:r>
        <w:rPr>
          <w:rFonts w:hint="eastAsia" w:ascii="仿宋_GB2312" w:hAnsi="黑体" w:eastAsia="仿宋_GB2312"/>
          <w:color w:val="auto"/>
          <w:sz w:val="28"/>
          <w:szCs w:val="28"/>
          <w:highlight w:val="none"/>
        </w:rPr>
        <w:t>.1供应商基本情况表</w:t>
      </w:r>
    </w:p>
    <w:tbl>
      <w:tblPr>
        <w:tblStyle w:val="24"/>
        <w:tblW w:w="9264" w:type="dxa"/>
        <w:tblInd w:w="-20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86"/>
        <w:gridCol w:w="1134"/>
        <w:gridCol w:w="966"/>
        <w:gridCol w:w="1018"/>
        <w:gridCol w:w="142"/>
        <w:gridCol w:w="283"/>
        <w:gridCol w:w="1145"/>
        <w:gridCol w:w="840"/>
        <w:gridCol w:w="455"/>
        <w:gridCol w:w="12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供应商名称</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注册地址</w:t>
            </w:r>
          </w:p>
        </w:tc>
        <w:tc>
          <w:tcPr>
            <w:tcW w:w="3118" w:type="dxa"/>
            <w:gridSpan w:val="3"/>
          </w:tcPr>
          <w:p>
            <w:pPr>
              <w:adjustRightInd w:val="0"/>
              <w:snapToGrid w:val="0"/>
              <w:spacing w:line="600" w:lineRule="exact"/>
              <w:rPr>
                <w:rFonts w:ascii="仿宋_GB2312" w:eastAsia="仿宋_GB2312" w:hAnsiTheme="minorEastAsia"/>
                <w:color w:val="auto"/>
                <w:sz w:val="28"/>
                <w:szCs w:val="28"/>
                <w:highlight w:val="none"/>
              </w:rPr>
            </w:pPr>
          </w:p>
        </w:tc>
        <w:tc>
          <w:tcPr>
            <w:tcW w:w="1570"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邮政编码</w:t>
            </w:r>
          </w:p>
        </w:tc>
        <w:tc>
          <w:tcPr>
            <w:tcW w:w="2590" w:type="dxa"/>
            <w:gridSpan w:val="3"/>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vMerge w:val="restart"/>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联系方式</w:t>
            </w:r>
          </w:p>
        </w:tc>
        <w:tc>
          <w:tcPr>
            <w:tcW w:w="1134" w:type="dxa"/>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联系人</w:t>
            </w:r>
          </w:p>
        </w:tc>
        <w:tc>
          <w:tcPr>
            <w:tcW w:w="1984" w:type="dxa"/>
            <w:gridSpan w:val="2"/>
            <w:vAlign w:val="center"/>
          </w:tcPr>
          <w:p>
            <w:pPr>
              <w:adjustRightInd w:val="0"/>
              <w:snapToGrid w:val="0"/>
              <w:spacing w:line="600" w:lineRule="exact"/>
              <w:jc w:val="center"/>
              <w:rPr>
                <w:rFonts w:ascii="仿宋_GB2312" w:eastAsia="仿宋_GB2312" w:hAnsiTheme="minorEastAsia"/>
                <w:color w:val="auto"/>
                <w:sz w:val="28"/>
                <w:szCs w:val="28"/>
                <w:highlight w:val="none"/>
              </w:rPr>
            </w:pPr>
          </w:p>
        </w:tc>
        <w:tc>
          <w:tcPr>
            <w:tcW w:w="1570" w:type="dxa"/>
            <w:gridSpan w:val="3"/>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p>
        </w:tc>
        <w:tc>
          <w:tcPr>
            <w:tcW w:w="2590" w:type="dxa"/>
            <w:gridSpan w:val="3"/>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vMerge w:val="continue"/>
            <w:vAlign w:val="center"/>
          </w:tcPr>
          <w:p>
            <w:pPr>
              <w:adjustRightInd w:val="0"/>
              <w:snapToGrid w:val="0"/>
              <w:spacing w:line="600" w:lineRule="exact"/>
              <w:jc w:val="center"/>
              <w:rPr>
                <w:rFonts w:ascii="仿宋_GB2312" w:eastAsia="仿宋_GB2312" w:hAnsiTheme="minorEastAsia"/>
                <w:color w:val="auto"/>
                <w:sz w:val="28"/>
                <w:szCs w:val="28"/>
                <w:highlight w:val="none"/>
              </w:rPr>
            </w:pPr>
          </w:p>
        </w:tc>
        <w:tc>
          <w:tcPr>
            <w:tcW w:w="1134" w:type="dxa"/>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传真</w:t>
            </w:r>
          </w:p>
        </w:tc>
        <w:tc>
          <w:tcPr>
            <w:tcW w:w="1984" w:type="dxa"/>
            <w:gridSpan w:val="2"/>
            <w:vAlign w:val="center"/>
          </w:tcPr>
          <w:p>
            <w:pPr>
              <w:adjustRightInd w:val="0"/>
              <w:snapToGrid w:val="0"/>
              <w:spacing w:line="600" w:lineRule="exact"/>
              <w:jc w:val="center"/>
              <w:rPr>
                <w:rFonts w:ascii="仿宋_GB2312" w:eastAsia="仿宋_GB2312" w:hAnsiTheme="minorEastAsia"/>
                <w:color w:val="auto"/>
                <w:sz w:val="28"/>
                <w:szCs w:val="28"/>
                <w:highlight w:val="none"/>
              </w:rPr>
            </w:pPr>
          </w:p>
        </w:tc>
        <w:tc>
          <w:tcPr>
            <w:tcW w:w="1570" w:type="dxa"/>
            <w:gridSpan w:val="3"/>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网址</w:t>
            </w:r>
          </w:p>
        </w:tc>
        <w:tc>
          <w:tcPr>
            <w:tcW w:w="2590" w:type="dxa"/>
            <w:gridSpan w:val="3"/>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组织结构</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法定代表人</w:t>
            </w:r>
          </w:p>
        </w:tc>
        <w:tc>
          <w:tcPr>
            <w:tcW w:w="1134"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姓名</w:t>
            </w:r>
          </w:p>
        </w:tc>
        <w:tc>
          <w:tcPr>
            <w:tcW w:w="966" w:type="dxa"/>
          </w:tcPr>
          <w:p>
            <w:pPr>
              <w:adjustRightInd w:val="0"/>
              <w:snapToGrid w:val="0"/>
              <w:spacing w:line="600" w:lineRule="exact"/>
              <w:rPr>
                <w:rFonts w:ascii="仿宋_GB2312" w:eastAsia="仿宋_GB2312" w:hAnsiTheme="minorEastAsia"/>
                <w:color w:val="auto"/>
                <w:sz w:val="28"/>
                <w:szCs w:val="28"/>
                <w:highlight w:val="none"/>
              </w:rPr>
            </w:pPr>
          </w:p>
        </w:tc>
        <w:tc>
          <w:tcPr>
            <w:tcW w:w="1443"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技术职称</w:t>
            </w:r>
          </w:p>
        </w:tc>
        <w:tc>
          <w:tcPr>
            <w:tcW w:w="1145" w:type="dxa"/>
          </w:tcPr>
          <w:p>
            <w:pPr>
              <w:adjustRightInd w:val="0"/>
              <w:snapToGrid w:val="0"/>
              <w:spacing w:line="600" w:lineRule="exact"/>
              <w:rPr>
                <w:rFonts w:ascii="仿宋_GB2312" w:eastAsia="仿宋_GB2312" w:hAnsiTheme="minorEastAsia"/>
                <w:color w:val="auto"/>
                <w:sz w:val="28"/>
                <w:szCs w:val="28"/>
                <w:highlight w:val="none"/>
              </w:rPr>
            </w:pPr>
          </w:p>
        </w:tc>
        <w:tc>
          <w:tcPr>
            <w:tcW w:w="1295" w:type="dxa"/>
            <w:gridSpan w:val="2"/>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p>
        </w:tc>
        <w:tc>
          <w:tcPr>
            <w:tcW w:w="1295" w:type="dxa"/>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技术负责人</w:t>
            </w:r>
          </w:p>
        </w:tc>
        <w:tc>
          <w:tcPr>
            <w:tcW w:w="1134"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姓名</w:t>
            </w:r>
          </w:p>
        </w:tc>
        <w:tc>
          <w:tcPr>
            <w:tcW w:w="966" w:type="dxa"/>
          </w:tcPr>
          <w:p>
            <w:pPr>
              <w:adjustRightInd w:val="0"/>
              <w:snapToGrid w:val="0"/>
              <w:spacing w:line="600" w:lineRule="exact"/>
              <w:rPr>
                <w:rFonts w:ascii="仿宋_GB2312" w:eastAsia="仿宋_GB2312" w:hAnsiTheme="minorEastAsia"/>
                <w:color w:val="auto"/>
                <w:sz w:val="28"/>
                <w:szCs w:val="28"/>
                <w:highlight w:val="none"/>
              </w:rPr>
            </w:pPr>
          </w:p>
        </w:tc>
        <w:tc>
          <w:tcPr>
            <w:tcW w:w="1443"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技术职称</w:t>
            </w:r>
          </w:p>
        </w:tc>
        <w:tc>
          <w:tcPr>
            <w:tcW w:w="1145" w:type="dxa"/>
          </w:tcPr>
          <w:p>
            <w:pPr>
              <w:adjustRightInd w:val="0"/>
              <w:snapToGrid w:val="0"/>
              <w:spacing w:line="600" w:lineRule="exact"/>
              <w:rPr>
                <w:rFonts w:ascii="仿宋_GB2312" w:eastAsia="仿宋_GB2312" w:hAnsiTheme="minorEastAsia"/>
                <w:color w:val="auto"/>
                <w:sz w:val="28"/>
                <w:szCs w:val="28"/>
                <w:highlight w:val="none"/>
              </w:rPr>
            </w:pPr>
          </w:p>
        </w:tc>
        <w:tc>
          <w:tcPr>
            <w:tcW w:w="1295" w:type="dxa"/>
            <w:gridSpan w:val="2"/>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p>
        </w:tc>
        <w:tc>
          <w:tcPr>
            <w:tcW w:w="1295" w:type="dxa"/>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成立时间</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5178" w:type="dxa"/>
            <w:gridSpan w:val="7"/>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□员工总人数：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企业资质等级</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restart"/>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其中</w:t>
            </w: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项目负责人</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营业执照号</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□高级职称人员</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注册资金</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□中级职称人员</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开户银行</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□初级职称人员</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账户</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□技工</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186" w:hRule="atLeast"/>
        </w:trPr>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经营范围</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2" w:hRule="atLeast"/>
        </w:trPr>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备注</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bl>
    <w:p>
      <w:pPr>
        <w:adjustRightInd w:val="0"/>
        <w:snapToGrid w:val="0"/>
        <w:ind w:firstLine="573"/>
        <w:rPr>
          <w:rFonts w:hint="eastAsia" w:cs="Times New Roman" w:asciiTheme="minorEastAsia" w:hAnsiTheme="minorEastAsia" w:eastAsiaTheme="minorEastAsia"/>
          <w:b/>
          <w:bCs/>
          <w:color w:val="auto"/>
          <w:sz w:val="28"/>
          <w:szCs w:val="28"/>
          <w:highlight w:val="none"/>
          <w:lang w:eastAsia="zh-CN"/>
        </w:rPr>
      </w:pPr>
      <w:r>
        <w:rPr>
          <w:rFonts w:ascii="仿宋_GB2312" w:eastAsia="仿宋_GB2312" w:hAnsiTheme="minorEastAsia"/>
          <w:color w:val="auto"/>
          <w:sz w:val="28"/>
          <w:szCs w:val="28"/>
          <w:highlight w:val="none"/>
        </w:rPr>
        <w:t>注</w:t>
      </w:r>
      <w:r>
        <w:rPr>
          <w:rFonts w:hint="eastAsia" w:ascii="仿宋_GB2312" w:eastAsia="仿宋_GB2312" w:hAnsiTheme="minorEastAsia"/>
          <w:color w:val="auto"/>
          <w:sz w:val="28"/>
          <w:szCs w:val="28"/>
          <w:highlight w:val="none"/>
        </w:rPr>
        <w:t>：</w:t>
      </w:r>
      <w:r>
        <w:rPr>
          <w:rFonts w:ascii="仿宋_GB2312" w:eastAsia="仿宋_GB2312" w:hAnsiTheme="minorEastAsia"/>
          <w:color w:val="auto"/>
          <w:sz w:val="28"/>
          <w:szCs w:val="28"/>
          <w:highlight w:val="none"/>
        </w:rPr>
        <w:t>供应商应按供应商须知的要求提供主体资格证明材料及相关资质证明材料</w:t>
      </w:r>
      <w:r>
        <w:rPr>
          <w:rFonts w:hint="eastAsia" w:ascii="仿宋_GB2312" w:eastAsia="仿宋_GB2312" w:hAnsiTheme="minorEastAsia"/>
          <w:color w:val="auto"/>
          <w:sz w:val="28"/>
          <w:szCs w:val="28"/>
          <w:highlight w:val="none"/>
          <w:lang w:eastAsia="zh-CN"/>
        </w:rPr>
        <w:t>。</w:t>
      </w:r>
      <w:r>
        <w:rPr>
          <w:rFonts w:hint="eastAsia" w:cs="Times New Roman" w:asciiTheme="minorEastAsia" w:hAnsiTheme="minorEastAsia" w:eastAsiaTheme="minorEastAsia"/>
          <w:b/>
          <w:bCs/>
          <w:color w:val="auto"/>
          <w:sz w:val="28"/>
          <w:szCs w:val="28"/>
          <w:highlight w:val="none"/>
          <w:lang w:val="en-US" w:eastAsia="zh-CN"/>
        </w:rPr>
        <w:t>（</w:t>
      </w:r>
      <w:r>
        <w:rPr>
          <w:rFonts w:hint="eastAsia" w:cs="Times New Roman" w:asciiTheme="minorEastAsia" w:hAnsiTheme="minorEastAsia" w:eastAsiaTheme="minorEastAsia"/>
          <w:b/>
          <w:bCs/>
          <w:color w:val="auto"/>
          <w:sz w:val="28"/>
          <w:szCs w:val="28"/>
          <w:highlight w:val="none"/>
        </w:rPr>
        <w:t>相关证明文件附后</w:t>
      </w:r>
      <w:r>
        <w:rPr>
          <w:rFonts w:hint="eastAsia" w:cs="Times New Roman" w:asciiTheme="minorEastAsia" w:hAnsiTheme="minorEastAsia" w:eastAsiaTheme="minorEastAsia"/>
          <w:b/>
          <w:bCs/>
          <w:color w:val="auto"/>
          <w:sz w:val="28"/>
          <w:szCs w:val="28"/>
          <w:highlight w:val="none"/>
          <w:lang w:eastAsia="zh-CN"/>
        </w:rPr>
        <w:t>）</w:t>
      </w:r>
    </w:p>
    <w:p>
      <w:pPr>
        <w:adjustRightInd w:val="0"/>
        <w:snapToGrid w:val="0"/>
        <w:spacing w:line="360" w:lineRule="auto"/>
        <w:jc w:val="right"/>
        <w:outlineLvl w:val="9"/>
        <w:rPr>
          <w:rFonts w:hint="eastAsia" w:cs="Times New Roman" w:asciiTheme="minorEastAsia" w:hAnsiTheme="minorEastAsia" w:eastAsiaTheme="minorEastAsia"/>
          <w:b/>
          <w:bCs/>
          <w:color w:val="auto"/>
          <w:sz w:val="28"/>
          <w:szCs w:val="28"/>
          <w:highlight w:val="none"/>
          <w:lang w:val="en-US" w:eastAsia="zh-CN"/>
        </w:rPr>
      </w:pPr>
      <w:bookmarkStart w:id="161" w:name="_Hlk59025866"/>
      <w:r>
        <w:rPr>
          <w:rFonts w:hint="eastAsia" w:ascii="宋体" w:hAnsi="宋体" w:eastAsia="宋体" w:cs="宋体"/>
          <w:color w:val="auto"/>
          <w:kern w:val="2"/>
          <w:sz w:val="24"/>
          <w:szCs w:val="24"/>
          <w:highlight w:val="none"/>
          <w:lang w:val="en-GB"/>
        </w:rPr>
        <w:t>供应商名称（加盖公章）：</w:t>
      </w:r>
    </w:p>
    <w:p>
      <w:pPr>
        <w:adjustRightInd w:val="0"/>
        <w:snapToGrid w:val="0"/>
        <w:spacing w:line="360" w:lineRule="auto"/>
        <w:jc w:val="left"/>
        <w:outlineLvl w:val="9"/>
        <w:rPr>
          <w:rFonts w:hint="eastAsia" w:cs="Times New Roman" w:asciiTheme="minorEastAsia" w:hAnsiTheme="minorEastAsia" w:eastAsiaTheme="minorEastAsia"/>
          <w:b/>
          <w:bCs/>
          <w:color w:val="auto"/>
          <w:sz w:val="28"/>
          <w:szCs w:val="28"/>
          <w:highlight w:val="none"/>
        </w:rPr>
      </w:pPr>
      <w:r>
        <w:rPr>
          <w:rFonts w:hint="eastAsia" w:cs="Times New Roman" w:asciiTheme="minorEastAsia" w:hAnsiTheme="minorEastAsia" w:eastAsiaTheme="minorEastAsia"/>
          <w:b/>
          <w:bCs/>
          <w:color w:val="auto"/>
          <w:sz w:val="28"/>
          <w:szCs w:val="28"/>
          <w:highlight w:val="none"/>
          <w:lang w:val="en-US" w:eastAsia="zh-CN"/>
        </w:rPr>
        <w:t>3.2不得存在情形</w:t>
      </w:r>
      <w:r>
        <w:rPr>
          <w:rFonts w:hint="eastAsia" w:cs="Times New Roman" w:asciiTheme="minorEastAsia" w:hAnsiTheme="minorEastAsia" w:eastAsiaTheme="minorEastAsia"/>
          <w:b/>
          <w:bCs/>
          <w:color w:val="auto"/>
          <w:sz w:val="28"/>
          <w:szCs w:val="28"/>
          <w:highlight w:val="none"/>
        </w:rPr>
        <w:t>承诺函</w:t>
      </w:r>
    </w:p>
    <w:bookmarkEnd w:id="161"/>
    <w:p>
      <w:pPr>
        <w:adjustRightInd w:val="0"/>
        <w:snapToGrid w:val="0"/>
        <w:spacing w:line="360" w:lineRule="auto"/>
        <w:rPr>
          <w:rFonts w:hint="eastAsia" w:ascii="宋体" w:hAnsi="宋体" w:eastAsia="宋体" w:cs="宋体"/>
          <w:color w:val="auto"/>
          <w:kern w:val="2"/>
          <w:sz w:val="24"/>
          <w:szCs w:val="24"/>
          <w:highlight w:val="none"/>
          <w:lang w:val="en-GB"/>
        </w:rPr>
      </w:pPr>
    </w:p>
    <w:p>
      <w:pPr>
        <w:adjustRightInd w:val="0"/>
        <w:snapToGrid w:val="0"/>
        <w:spacing w:line="360" w:lineRule="auto"/>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致：</w:t>
      </w:r>
      <w:r>
        <w:rPr>
          <w:rFonts w:hint="eastAsia" w:ascii="宋体" w:hAnsi="宋体" w:eastAsia="宋体" w:cs="宋体"/>
          <w:b/>
          <w:bCs/>
          <w:color w:val="auto"/>
          <w:sz w:val="24"/>
          <w:szCs w:val="24"/>
          <w:highlight w:val="none"/>
          <w:shd w:val="clear" w:color="auto" w:fill="FFFFFF"/>
        </w:rPr>
        <w:t>广州</w:t>
      </w:r>
      <w:r>
        <w:rPr>
          <w:rFonts w:hint="eastAsia" w:ascii="宋体" w:hAnsi="宋体" w:eastAsia="宋体" w:cs="宋体"/>
          <w:b/>
          <w:bCs/>
          <w:color w:val="auto"/>
          <w:sz w:val="24"/>
          <w:szCs w:val="24"/>
          <w:highlight w:val="none"/>
          <w:shd w:val="clear" w:color="auto" w:fill="FFFFFF"/>
          <w:lang w:val="en-US" w:eastAsia="zh-CN"/>
        </w:rPr>
        <w:t>从化</w:t>
      </w:r>
      <w:r>
        <w:rPr>
          <w:rFonts w:hint="eastAsia" w:ascii="宋体" w:hAnsi="宋体" w:eastAsia="宋体" w:cs="宋体"/>
          <w:b/>
          <w:bCs/>
          <w:color w:val="auto"/>
          <w:sz w:val="24"/>
          <w:szCs w:val="24"/>
          <w:highlight w:val="none"/>
          <w:shd w:val="clear" w:color="auto" w:fill="FFFFFF"/>
        </w:rPr>
        <w:t>净水有限公司</w:t>
      </w:r>
    </w:p>
    <w:p>
      <w:pPr>
        <w:adjustRightInd w:val="0"/>
        <w:snapToGrid w:val="0"/>
        <w:spacing w:line="360" w:lineRule="auto"/>
        <w:ind w:firstLine="480" w:firstLineChars="200"/>
        <w:jc w:val="both"/>
        <w:rPr>
          <w:rFonts w:hint="eastAsia" w:ascii="仿宋_GB2312" w:eastAsia="仿宋_GB2312"/>
          <w:color w:val="auto"/>
          <w:sz w:val="28"/>
          <w:szCs w:val="28"/>
          <w:highlight w:val="none"/>
          <w:lang w:eastAsia="zh-CN"/>
        </w:rPr>
      </w:pPr>
      <w:r>
        <w:rPr>
          <w:rFonts w:hint="eastAsia" w:ascii="宋体" w:hAnsi="宋体" w:eastAsia="宋体" w:cs="宋体"/>
          <w:color w:val="auto"/>
          <w:kern w:val="2"/>
          <w:sz w:val="24"/>
          <w:szCs w:val="24"/>
          <w:highlight w:val="none"/>
          <w:lang w:val="en-GB"/>
        </w:rPr>
        <w:t>我方郑重承诺，在参与</w:t>
      </w:r>
      <w:r>
        <w:rPr>
          <w:rFonts w:hint="eastAsia" w:ascii="宋体" w:hAnsi="宋体" w:cs="宋体"/>
          <w:color w:val="auto"/>
          <w:kern w:val="2"/>
          <w:sz w:val="24"/>
          <w:szCs w:val="24"/>
          <w:highlight w:val="none"/>
          <w:lang w:val="en-GB" w:eastAsia="zh-CN"/>
        </w:rPr>
        <w:t>广州</w:t>
      </w:r>
      <w:r>
        <w:rPr>
          <w:rFonts w:hint="eastAsia" w:ascii="宋体" w:hAnsi="宋体" w:cs="宋体"/>
          <w:color w:val="auto"/>
          <w:kern w:val="2"/>
          <w:sz w:val="24"/>
          <w:szCs w:val="24"/>
          <w:highlight w:val="none"/>
          <w:lang w:val="en-US" w:eastAsia="zh-CN"/>
        </w:rPr>
        <w:t>从化</w:t>
      </w:r>
      <w:r>
        <w:rPr>
          <w:rFonts w:hint="eastAsia" w:ascii="宋体" w:hAnsi="宋体" w:cs="宋体"/>
          <w:color w:val="auto"/>
          <w:kern w:val="2"/>
          <w:sz w:val="24"/>
          <w:szCs w:val="24"/>
          <w:highlight w:val="none"/>
          <w:lang w:val="en-GB" w:eastAsia="zh-CN"/>
        </w:rPr>
        <w:t>净水有限公司</w:t>
      </w:r>
      <w:r>
        <w:rPr>
          <w:rFonts w:hint="eastAsia" w:ascii="宋体" w:hAnsi="宋体" w:cs="宋体"/>
          <w:color w:val="auto"/>
          <w:kern w:val="2"/>
          <w:sz w:val="24"/>
          <w:szCs w:val="24"/>
          <w:highlight w:val="none"/>
          <w:lang w:val="en-US" w:eastAsia="zh-CN"/>
        </w:rPr>
        <w:t>2024年太平厂硫酸铝加药间改造</w:t>
      </w:r>
      <w:r>
        <w:rPr>
          <w:rFonts w:hint="eastAsia" w:ascii="宋体" w:hAnsi="宋体" w:cs="宋体"/>
          <w:color w:val="auto"/>
          <w:kern w:val="2"/>
          <w:sz w:val="24"/>
          <w:szCs w:val="24"/>
          <w:highlight w:val="none"/>
          <w:lang w:val="en-GB" w:eastAsia="zh-CN"/>
        </w:rPr>
        <w:t>项目</w:t>
      </w:r>
      <w:r>
        <w:rPr>
          <w:rFonts w:hint="eastAsia" w:ascii="宋体" w:hAnsi="宋体" w:eastAsia="宋体" w:cs="宋体"/>
          <w:color w:val="auto"/>
          <w:kern w:val="2"/>
          <w:sz w:val="24"/>
          <w:szCs w:val="24"/>
          <w:highlight w:val="none"/>
          <w:u w:val="single"/>
          <w:lang w:val="en-GB"/>
        </w:rPr>
        <w:t xml:space="preserve">（项目编号： </w:t>
      </w:r>
      <w:r>
        <w:rPr>
          <w:rFonts w:hint="eastAsia" w:ascii="宋体" w:hAnsi="宋体" w:eastAsia="宋体" w:cs="宋体"/>
          <w:color w:val="auto"/>
          <w:kern w:val="2"/>
          <w:sz w:val="24"/>
          <w:szCs w:val="24"/>
          <w:highlight w:val="none"/>
          <w:u w:val="single"/>
          <w:lang w:val="en-GB" w:eastAsia="zh-CN"/>
        </w:rPr>
        <w:t>******</w:t>
      </w:r>
      <w:r>
        <w:rPr>
          <w:rFonts w:hint="eastAsia" w:ascii="宋体" w:hAnsi="宋体" w:eastAsia="宋体" w:cs="宋体"/>
          <w:color w:val="auto"/>
          <w:kern w:val="2"/>
          <w:sz w:val="24"/>
          <w:szCs w:val="24"/>
          <w:highlight w:val="none"/>
          <w:u w:val="single"/>
          <w:lang w:val="en-GB"/>
        </w:rPr>
        <w:t>）</w:t>
      </w:r>
      <w:r>
        <w:rPr>
          <w:rFonts w:hint="eastAsia" w:ascii="宋体" w:hAnsi="宋体" w:eastAsia="宋体" w:cs="宋体"/>
          <w:color w:val="auto"/>
          <w:kern w:val="2"/>
          <w:sz w:val="24"/>
          <w:szCs w:val="24"/>
          <w:highlight w:val="none"/>
          <w:lang w:val="en-GB"/>
        </w:rPr>
        <w:t>采购期间，未被</w:t>
      </w:r>
      <w:r>
        <w:rPr>
          <w:rFonts w:hint="eastAsia" w:ascii="仿宋_GB2312" w:eastAsia="仿宋_GB2312"/>
          <w:color w:val="auto"/>
          <w:sz w:val="28"/>
          <w:szCs w:val="28"/>
          <w:highlight w:val="none"/>
          <w:lang w:val="en-US" w:eastAsia="zh-CN"/>
        </w:rPr>
        <w:t>列入</w:t>
      </w:r>
      <w:r>
        <w:rPr>
          <w:rFonts w:hint="eastAsia" w:ascii="仿宋_GB2312" w:eastAsia="仿宋_GB2312"/>
          <w:color w:val="auto"/>
          <w:sz w:val="28"/>
          <w:szCs w:val="28"/>
          <w:highlight w:val="none"/>
        </w:rPr>
        <w:t>下列情形之一</w:t>
      </w:r>
      <w:r>
        <w:rPr>
          <w:rFonts w:hint="eastAsia" w:ascii="仿宋_GB2312" w:eastAsia="仿宋_GB2312"/>
          <w:color w:val="auto"/>
          <w:sz w:val="28"/>
          <w:szCs w:val="28"/>
          <w:highlight w:val="none"/>
          <w:lang w:eastAsia="zh-CN"/>
        </w:rPr>
        <w:t>：</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（1）与本项目其他供应商的单位负责人为同一人。</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（2）与本项目其他供应商存在控股</w:t>
      </w:r>
      <w:r>
        <w:rPr>
          <w:rFonts w:hint="eastAsia" w:ascii="宋体" w:hAnsi="宋体" w:cs="宋体"/>
          <w:color w:val="auto"/>
          <w:sz w:val="24"/>
          <w:szCs w:val="24"/>
          <w:highlight w:val="none"/>
          <w:lang w:val="en-US" w:eastAsia="zh-CN"/>
        </w:rPr>
        <w:t>或</w:t>
      </w:r>
      <w:r>
        <w:rPr>
          <w:rFonts w:hint="eastAsia" w:ascii="宋体" w:hAnsi="宋体" w:cs="宋体" w:eastAsiaTheme="minorEastAsia"/>
          <w:color w:val="auto"/>
          <w:sz w:val="24"/>
          <w:szCs w:val="24"/>
          <w:highlight w:val="none"/>
          <w:lang w:val="en-GB"/>
        </w:rPr>
        <w:t>管理关系。</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3</w:t>
      </w:r>
      <w:r>
        <w:rPr>
          <w:rFonts w:hint="eastAsia" w:ascii="宋体" w:hAnsi="宋体" w:cs="宋体" w:eastAsiaTheme="minorEastAsia"/>
          <w:color w:val="auto"/>
          <w:sz w:val="24"/>
          <w:szCs w:val="24"/>
          <w:highlight w:val="none"/>
          <w:lang w:val="en-GB"/>
        </w:rPr>
        <w:t>）被本项目所在地省级以上行业主管部门依法暂停、取消投标或禁止参加采购活动且处于有效期内的。</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4</w:t>
      </w:r>
      <w:r>
        <w:rPr>
          <w:rFonts w:hint="eastAsia" w:ascii="宋体" w:hAnsi="宋体" w:cs="宋体" w:eastAsiaTheme="minorEastAsia"/>
          <w:color w:val="auto"/>
          <w:sz w:val="24"/>
          <w:szCs w:val="24"/>
          <w:highlight w:val="none"/>
          <w:lang w:val="en-GB"/>
        </w:rPr>
        <w:t>）处于被责令停产停业、暂扣或者吊销执照、暂扣或者吊销许可证、吊销资质证书状态。</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5</w:t>
      </w:r>
      <w:r>
        <w:rPr>
          <w:rFonts w:hint="eastAsia" w:ascii="宋体" w:hAnsi="宋体" w:cs="宋体" w:eastAsiaTheme="minorEastAsia"/>
          <w:color w:val="auto"/>
          <w:sz w:val="24"/>
          <w:szCs w:val="24"/>
          <w:highlight w:val="none"/>
          <w:lang w:val="en-GB"/>
        </w:rPr>
        <w:t>）进入清算程序，或被宣告破产，或其他丧失履约能力情形的。</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6</w:t>
      </w:r>
      <w:r>
        <w:rPr>
          <w:rFonts w:hint="eastAsia" w:ascii="宋体" w:hAnsi="宋体" w:cs="宋体" w:eastAsiaTheme="minorEastAsia"/>
          <w:color w:val="auto"/>
          <w:sz w:val="24"/>
          <w:szCs w:val="24"/>
          <w:highlight w:val="none"/>
          <w:lang w:val="en-GB"/>
        </w:rPr>
        <w:t>）近三年内因发生质量或安全生产事故等受到行政处罚且在处罚期内的。</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7</w:t>
      </w:r>
      <w:r>
        <w:rPr>
          <w:rFonts w:hint="eastAsia" w:ascii="宋体" w:hAnsi="宋体" w:cs="宋体" w:eastAsiaTheme="minorEastAsia"/>
          <w:color w:val="auto"/>
          <w:sz w:val="24"/>
          <w:szCs w:val="24"/>
          <w:highlight w:val="none"/>
          <w:lang w:val="en-GB"/>
        </w:rPr>
        <w:t>）被最高人民法院在“信用中国”网站（www.creditchina.gov.cn）或各级信用信息共享平台中列入失信被执行人名单。</w:t>
      </w:r>
    </w:p>
    <w:p>
      <w:pPr>
        <w:pStyle w:val="22"/>
        <w:ind w:firstLine="480" w:firstLineChars="200"/>
        <w:rPr>
          <w:rFonts w:hint="eastAsia" w:cs="宋体" w:eastAsiaTheme="minorEastAsia"/>
          <w:color w:val="auto"/>
          <w:kern w:val="2"/>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8</w:t>
      </w:r>
      <w:r>
        <w:rPr>
          <w:rFonts w:hint="eastAsia" w:ascii="宋体" w:hAnsi="宋体" w:cs="宋体" w:eastAsiaTheme="minorEastAsia"/>
          <w:color w:val="auto"/>
          <w:sz w:val="24"/>
          <w:szCs w:val="24"/>
          <w:highlight w:val="none"/>
          <w:lang w:val="en-GB"/>
        </w:rPr>
        <w:t>）</w:t>
      </w:r>
      <w:r>
        <w:rPr>
          <w:rFonts w:hint="eastAsia" w:cs="宋体" w:eastAsiaTheme="minorEastAsia"/>
          <w:color w:val="auto"/>
          <w:kern w:val="2"/>
          <w:highlight w:val="none"/>
          <w:lang w:val="en-GB"/>
        </w:rPr>
        <w:t>被“全国企业信用信息公示系统”（网址：http://www.gsxt.gov.cn/）</w:t>
      </w:r>
    </w:p>
    <w:p>
      <w:pPr>
        <w:pStyle w:val="22"/>
        <w:rPr>
          <w:rFonts w:hint="eastAsia" w:cs="宋体" w:eastAsiaTheme="minorEastAsia"/>
          <w:color w:val="auto"/>
          <w:kern w:val="2"/>
          <w:highlight w:val="none"/>
          <w:lang w:val="en-GB"/>
        </w:rPr>
      </w:pPr>
      <w:r>
        <w:rPr>
          <w:rFonts w:hint="eastAsia" w:cs="宋体" w:eastAsiaTheme="minorEastAsia"/>
          <w:color w:val="auto"/>
          <w:kern w:val="2"/>
          <w:highlight w:val="none"/>
          <w:lang w:val="en-GB"/>
        </w:rPr>
        <w:t>列入经营异常名录和严重违法企业名单。</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9</w:t>
      </w:r>
      <w:r>
        <w:rPr>
          <w:rFonts w:hint="eastAsia" w:ascii="宋体" w:hAnsi="宋体" w:cs="宋体" w:eastAsiaTheme="minorEastAsia"/>
          <w:color w:val="auto"/>
          <w:sz w:val="24"/>
          <w:szCs w:val="24"/>
          <w:highlight w:val="none"/>
          <w:lang w:val="en-GB"/>
        </w:rPr>
        <w:t>）被“信用广州”网站纳入失信被执行人名单（失信黑名单）。</w:t>
      </w:r>
    </w:p>
    <w:p>
      <w:pPr>
        <w:adjustRightInd w:val="0"/>
        <w:snapToGrid w:val="0"/>
        <w:spacing w:line="360" w:lineRule="auto"/>
        <w:ind w:firstLine="480" w:firstLineChars="200"/>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（1</w:t>
      </w:r>
      <w:r>
        <w:rPr>
          <w:rFonts w:hint="eastAsia" w:ascii="宋体" w:hAnsi="宋体" w:cs="宋体"/>
          <w:color w:val="auto"/>
          <w:sz w:val="24"/>
          <w:szCs w:val="24"/>
          <w:highlight w:val="none"/>
          <w:lang w:val="en-US" w:eastAsia="zh-CN"/>
        </w:rPr>
        <w:t>0</w:t>
      </w:r>
      <w:r>
        <w:rPr>
          <w:rFonts w:hint="eastAsia" w:ascii="宋体" w:hAnsi="宋体" w:cs="宋体" w:eastAsiaTheme="minorEastAsia"/>
          <w:color w:val="auto"/>
          <w:sz w:val="24"/>
          <w:szCs w:val="24"/>
          <w:highlight w:val="none"/>
          <w:lang w:val="en-GB"/>
        </w:rPr>
        <w:t>）其他违法违纪行为，经审查认为不宜被邀请参加采购活动的。</w:t>
      </w:r>
    </w:p>
    <w:p>
      <w:pPr>
        <w:adjustRightInd w:val="0"/>
        <w:snapToGrid w:val="0"/>
        <w:spacing w:line="360" w:lineRule="auto"/>
        <w:rPr>
          <w:rFonts w:hint="eastAsia" w:ascii="宋体" w:hAnsi="宋体" w:eastAsia="宋体" w:cs="宋体"/>
          <w:b/>
          <w:color w:val="auto"/>
          <w:sz w:val="21"/>
          <w:szCs w:val="21"/>
          <w:highlight w:val="none"/>
        </w:rPr>
      </w:pPr>
    </w:p>
    <w:p>
      <w:pPr>
        <w:adjustRightInd w:val="0"/>
        <w:snapToGrid w:val="0"/>
        <w:spacing w:line="360" w:lineRule="auto"/>
        <w:jc w:val="right"/>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 xml:space="preserve">供应商名称（加盖公章）： </w:t>
      </w:r>
    </w:p>
    <w:p>
      <w:pPr>
        <w:ind w:firstLine="0"/>
        <w:jc w:val="right"/>
        <w:rPr>
          <w:rFonts w:hint="eastAsia"/>
          <w:color w:val="auto"/>
          <w:highlight w:val="none"/>
          <w:lang w:eastAsia="zh-CN"/>
        </w:rPr>
      </w:pPr>
      <w:r>
        <w:rPr>
          <w:rFonts w:hint="eastAsia" w:ascii="宋体" w:hAnsi="宋体" w:eastAsia="宋体" w:cs="宋体"/>
          <w:color w:val="auto"/>
          <w:kern w:val="2"/>
          <w:sz w:val="24"/>
          <w:szCs w:val="24"/>
          <w:highlight w:val="none"/>
          <w:lang w:val="en-GB"/>
        </w:rPr>
        <w:t>年  月  日</w:t>
      </w:r>
    </w:p>
    <w:p>
      <w:pPr>
        <w:jc w:val="left"/>
        <w:rPr>
          <w:rFonts w:hint="eastAsia" w:cs="Times New Roman" w:asciiTheme="minorEastAsia" w:hAnsiTheme="minorEastAsia"/>
          <w:b/>
          <w:bCs/>
          <w:color w:val="auto"/>
          <w:sz w:val="28"/>
          <w:szCs w:val="28"/>
          <w:highlight w:val="none"/>
          <w:lang w:val="en-US" w:eastAsia="zh-CN"/>
        </w:rPr>
      </w:pPr>
    </w:p>
    <w:p>
      <w:pPr>
        <w:pStyle w:val="2"/>
        <w:rPr>
          <w:rFonts w:hint="eastAsia" w:cs="Times New Roman" w:asciiTheme="minorEastAsia" w:hAnsiTheme="minorEastAsia"/>
          <w:b/>
          <w:bCs/>
          <w:color w:val="auto"/>
          <w:sz w:val="28"/>
          <w:szCs w:val="28"/>
          <w:highlight w:val="none"/>
          <w:lang w:val="en-US" w:eastAsia="zh-CN"/>
        </w:rPr>
      </w:pPr>
    </w:p>
    <w:p>
      <w:pPr>
        <w:pStyle w:val="2"/>
        <w:rPr>
          <w:rFonts w:hint="eastAsia" w:cs="Times New Roman" w:asciiTheme="minorEastAsia" w:hAnsiTheme="minorEastAsia"/>
          <w:b/>
          <w:bCs/>
          <w:color w:val="auto"/>
          <w:sz w:val="28"/>
          <w:szCs w:val="28"/>
          <w:highlight w:val="none"/>
          <w:lang w:val="en-US" w:eastAsia="zh-CN"/>
        </w:rPr>
      </w:pPr>
    </w:p>
    <w:p>
      <w:pPr>
        <w:jc w:val="left"/>
        <w:rPr>
          <w:rFonts w:hint="eastAsia" w:cs="Times New Roman" w:asciiTheme="minorEastAsia" w:hAnsiTheme="minorEastAsia"/>
          <w:b/>
          <w:bCs/>
          <w:color w:val="auto"/>
          <w:sz w:val="28"/>
          <w:szCs w:val="28"/>
          <w:highlight w:val="none"/>
          <w:lang w:val="en-US" w:eastAsia="zh-CN"/>
        </w:rPr>
      </w:pPr>
    </w:p>
    <w:p>
      <w:pPr>
        <w:jc w:val="left"/>
        <w:rPr>
          <w:rFonts w:hint="eastAsia" w:cs="Times New Roman" w:asciiTheme="minorEastAsia" w:hAnsiTheme="minorEastAsia" w:eastAsiaTheme="minorEastAsia"/>
          <w:b/>
          <w:bCs/>
          <w:color w:val="auto"/>
          <w:sz w:val="28"/>
          <w:szCs w:val="28"/>
          <w:highlight w:val="none"/>
        </w:rPr>
      </w:pPr>
      <w:r>
        <w:rPr>
          <w:rFonts w:hint="eastAsia" w:cs="Times New Roman" w:asciiTheme="minorEastAsia" w:hAnsiTheme="minorEastAsia"/>
          <w:b/>
          <w:bCs/>
          <w:color w:val="auto"/>
          <w:sz w:val="28"/>
          <w:szCs w:val="28"/>
          <w:highlight w:val="none"/>
          <w:lang w:val="en-US" w:eastAsia="zh-CN"/>
        </w:rPr>
        <w:t>4</w:t>
      </w:r>
      <w:r>
        <w:rPr>
          <w:rFonts w:hint="eastAsia" w:cs="Times New Roman" w:asciiTheme="minorEastAsia" w:hAnsiTheme="minorEastAsia" w:eastAsiaTheme="minorEastAsia"/>
          <w:b/>
          <w:bCs/>
          <w:color w:val="auto"/>
          <w:sz w:val="28"/>
          <w:szCs w:val="28"/>
          <w:highlight w:val="none"/>
          <w:lang w:val="en-US" w:eastAsia="zh-CN"/>
        </w:rPr>
        <w:t>.</w:t>
      </w:r>
      <w:r>
        <w:rPr>
          <w:rFonts w:hint="eastAsia" w:cs="Times New Roman" w:asciiTheme="minorEastAsia" w:hAnsiTheme="minorEastAsia" w:eastAsiaTheme="minorEastAsia"/>
          <w:b/>
          <w:bCs/>
          <w:color w:val="auto"/>
          <w:sz w:val="28"/>
          <w:szCs w:val="28"/>
          <w:highlight w:val="none"/>
        </w:rPr>
        <w:t>拟投入本项目的项目负责人情况表</w:t>
      </w:r>
    </w:p>
    <w:p>
      <w:pPr>
        <w:pStyle w:val="22"/>
        <w:rPr>
          <w:rFonts w:hint="eastAsia" w:ascii="仿宋_GB2312" w:eastAsia="仿宋_GB2312" w:hAnsiTheme="minorEastAsia"/>
          <w:color w:val="auto"/>
          <w:sz w:val="28"/>
          <w:szCs w:val="28"/>
          <w:highlight w:val="none"/>
          <w:lang w:val="en-US" w:eastAsia="zh-CN"/>
        </w:rPr>
      </w:pPr>
    </w:p>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 xml:space="preserve"> 拟投入本项目的项目负责人情况表</w:t>
      </w:r>
    </w:p>
    <w:tbl>
      <w:tblPr>
        <w:tblStyle w:val="23"/>
        <w:tblW w:w="9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332"/>
        <w:gridCol w:w="1165"/>
        <w:gridCol w:w="828"/>
        <w:gridCol w:w="785"/>
        <w:gridCol w:w="1208"/>
        <w:gridCol w:w="129"/>
        <w:gridCol w:w="1864"/>
        <w:gridCol w:w="334"/>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姓名</w:t>
            </w:r>
          </w:p>
        </w:tc>
        <w:tc>
          <w:tcPr>
            <w:tcW w:w="1497" w:type="dxa"/>
            <w:gridSpan w:val="2"/>
            <w:noWrap w:val="0"/>
            <w:vAlign w:val="top"/>
          </w:tcPr>
          <w:p>
            <w:pPr>
              <w:jc w:val="center"/>
              <w:rPr>
                <w:rFonts w:ascii="仿宋" w:hAnsi="仿宋" w:eastAsia="仿宋" w:cs="仿宋_GB2312"/>
                <w:b/>
                <w:color w:val="auto"/>
                <w:sz w:val="28"/>
                <w:szCs w:val="28"/>
                <w:highlight w:val="none"/>
              </w:rPr>
            </w:pPr>
          </w:p>
        </w:tc>
        <w:tc>
          <w:tcPr>
            <w:tcW w:w="161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出生年月</w:t>
            </w:r>
          </w:p>
        </w:tc>
        <w:tc>
          <w:tcPr>
            <w:tcW w:w="1337" w:type="dxa"/>
            <w:gridSpan w:val="2"/>
            <w:noWrap w:val="0"/>
            <w:vAlign w:val="top"/>
          </w:tcPr>
          <w:p>
            <w:pPr>
              <w:jc w:val="center"/>
              <w:rPr>
                <w:rFonts w:ascii="仿宋" w:hAnsi="仿宋" w:eastAsia="仿宋" w:cs="仿宋_GB2312"/>
                <w:b/>
                <w:color w:val="auto"/>
                <w:sz w:val="28"/>
                <w:szCs w:val="28"/>
                <w:highlight w:val="none"/>
              </w:rPr>
            </w:pPr>
          </w:p>
        </w:tc>
        <w:tc>
          <w:tcPr>
            <w:tcW w:w="2198"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学历</w:t>
            </w:r>
          </w:p>
        </w:tc>
        <w:tc>
          <w:tcPr>
            <w:tcW w:w="1119" w:type="dxa"/>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职称</w:t>
            </w:r>
          </w:p>
        </w:tc>
        <w:tc>
          <w:tcPr>
            <w:tcW w:w="149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1613"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职务</w:t>
            </w:r>
          </w:p>
        </w:tc>
        <w:tc>
          <w:tcPr>
            <w:tcW w:w="133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2198"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从事本工作时间</w:t>
            </w:r>
          </w:p>
        </w:tc>
        <w:tc>
          <w:tcPr>
            <w:tcW w:w="1119" w:type="dxa"/>
            <w:noWrap w:val="0"/>
            <w:vAlign w:val="top"/>
          </w:tcPr>
          <w:p>
            <w:pPr>
              <w:spacing w:line="360" w:lineRule="exact"/>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61" w:type="dxa"/>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毕业院校</w:t>
            </w:r>
          </w:p>
        </w:tc>
        <w:tc>
          <w:tcPr>
            <w:tcW w:w="149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1613"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毕业时间</w:t>
            </w:r>
          </w:p>
        </w:tc>
        <w:tc>
          <w:tcPr>
            <w:tcW w:w="133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2198"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专业</w:t>
            </w:r>
          </w:p>
        </w:tc>
        <w:tc>
          <w:tcPr>
            <w:tcW w:w="1119" w:type="dxa"/>
            <w:noWrap w:val="0"/>
            <w:vAlign w:val="top"/>
          </w:tcPr>
          <w:p>
            <w:pPr>
              <w:spacing w:line="360" w:lineRule="exact"/>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8" w:type="dxa"/>
            <w:gridSpan w:val="3"/>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注册证书等级</w:t>
            </w:r>
          </w:p>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和专业</w:t>
            </w:r>
          </w:p>
        </w:tc>
        <w:tc>
          <w:tcPr>
            <w:tcW w:w="2950" w:type="dxa"/>
            <w:gridSpan w:val="4"/>
            <w:noWrap w:val="0"/>
            <w:vAlign w:val="top"/>
          </w:tcPr>
          <w:p>
            <w:pPr>
              <w:spacing w:line="360" w:lineRule="exact"/>
              <w:jc w:val="center"/>
              <w:rPr>
                <w:rFonts w:ascii="仿宋" w:hAnsi="仿宋" w:eastAsia="仿宋" w:cs="仿宋_GB2312"/>
                <w:b/>
                <w:color w:val="auto"/>
                <w:sz w:val="28"/>
                <w:szCs w:val="28"/>
                <w:highlight w:val="none"/>
              </w:rPr>
            </w:pPr>
          </w:p>
        </w:tc>
        <w:tc>
          <w:tcPr>
            <w:tcW w:w="2198"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证书编号</w:t>
            </w:r>
          </w:p>
        </w:tc>
        <w:tc>
          <w:tcPr>
            <w:tcW w:w="1119" w:type="dxa"/>
            <w:noWrap w:val="0"/>
            <w:vAlign w:val="top"/>
          </w:tcPr>
          <w:p>
            <w:pPr>
              <w:spacing w:line="360" w:lineRule="exact"/>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8" w:type="dxa"/>
            <w:gridSpan w:val="3"/>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职称证专业</w:t>
            </w:r>
          </w:p>
        </w:tc>
        <w:tc>
          <w:tcPr>
            <w:tcW w:w="2950" w:type="dxa"/>
            <w:gridSpan w:val="4"/>
            <w:noWrap w:val="0"/>
            <w:vAlign w:val="top"/>
          </w:tcPr>
          <w:p>
            <w:pPr>
              <w:jc w:val="center"/>
              <w:rPr>
                <w:rFonts w:ascii="仿宋" w:hAnsi="仿宋" w:eastAsia="仿宋" w:cs="仿宋_GB2312"/>
                <w:b/>
                <w:color w:val="auto"/>
                <w:sz w:val="28"/>
                <w:szCs w:val="28"/>
                <w:highlight w:val="none"/>
              </w:rPr>
            </w:pPr>
          </w:p>
        </w:tc>
        <w:tc>
          <w:tcPr>
            <w:tcW w:w="2198"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证书编号</w:t>
            </w:r>
          </w:p>
        </w:tc>
        <w:tc>
          <w:tcPr>
            <w:tcW w:w="1119" w:type="dxa"/>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5" w:type="dxa"/>
            <w:gridSpan w:val="10"/>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项目名称</w:t>
            </w:r>
          </w:p>
        </w:tc>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合同金额</w:t>
            </w:r>
          </w:p>
        </w:tc>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开、竣工时间</w:t>
            </w:r>
          </w:p>
        </w:tc>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担任职务</w:t>
            </w:r>
          </w:p>
        </w:tc>
        <w:tc>
          <w:tcPr>
            <w:tcW w:w="145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453" w:type="dxa"/>
            <w:gridSpan w:val="2"/>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453" w:type="dxa"/>
            <w:gridSpan w:val="2"/>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453" w:type="dxa"/>
            <w:gridSpan w:val="2"/>
            <w:noWrap w:val="0"/>
            <w:vAlign w:val="top"/>
          </w:tcPr>
          <w:p>
            <w:pPr>
              <w:jc w:val="center"/>
              <w:rPr>
                <w:rFonts w:ascii="仿宋" w:hAnsi="仿宋" w:eastAsia="仿宋" w:cs="仿宋_GB2312"/>
                <w:b/>
                <w:color w:val="auto"/>
                <w:sz w:val="28"/>
                <w:szCs w:val="28"/>
                <w:highlight w:val="none"/>
              </w:rPr>
            </w:pPr>
          </w:p>
        </w:tc>
      </w:tr>
    </w:tbl>
    <w:p>
      <w:pPr>
        <w:pStyle w:val="22"/>
        <w:rPr>
          <w:rFonts w:hint="default" w:ascii="仿宋_GB2312" w:eastAsia="仿宋_GB2312" w:hAnsiTheme="minorEastAsia"/>
          <w:color w:val="auto"/>
          <w:sz w:val="28"/>
          <w:szCs w:val="28"/>
          <w:highlight w:val="none"/>
          <w:lang w:val="en-US" w:eastAsia="zh-CN"/>
        </w:rPr>
      </w:pPr>
    </w:p>
    <w:p>
      <w:pPr>
        <w:pStyle w:val="22"/>
        <w:rPr>
          <w:rFonts w:hint="default" w:ascii="仿宋_GB2312" w:eastAsia="仿宋_GB2312" w:hAnsiTheme="minorEastAsia"/>
          <w:color w:val="auto"/>
          <w:sz w:val="28"/>
          <w:szCs w:val="28"/>
          <w:highlight w:val="none"/>
          <w:lang w:val="en-US" w:eastAsia="zh-CN"/>
        </w:rPr>
      </w:pPr>
    </w:p>
    <w:p>
      <w:pPr>
        <w:adjustRightInd w:val="0"/>
        <w:snapToGrid w:val="0"/>
        <w:spacing w:line="360" w:lineRule="auto"/>
        <w:jc w:val="right"/>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 xml:space="preserve">供应商名称（加盖公章）： </w:t>
      </w:r>
    </w:p>
    <w:p>
      <w:pPr>
        <w:adjustRightInd w:val="0"/>
        <w:snapToGrid w:val="0"/>
        <w:spacing w:line="360" w:lineRule="auto"/>
        <w:jc w:val="right"/>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年  月  日</w:t>
      </w:r>
    </w:p>
    <w:p>
      <w:pPr>
        <w:pStyle w:val="22"/>
        <w:rPr>
          <w:rFonts w:hint="default" w:ascii="仿宋_GB2312" w:eastAsia="仿宋_GB2312" w:hAnsiTheme="minorEastAsia"/>
          <w:color w:val="auto"/>
          <w:sz w:val="28"/>
          <w:szCs w:val="28"/>
          <w:highlight w:val="none"/>
          <w:lang w:val="en-US" w:eastAsia="zh-CN"/>
        </w:rPr>
      </w:pPr>
    </w:p>
    <w:p>
      <w:pPr>
        <w:pStyle w:val="22"/>
        <w:rPr>
          <w:rFonts w:hint="default" w:ascii="仿宋_GB2312" w:eastAsia="仿宋_GB2312" w:hAnsiTheme="minorEastAsia"/>
          <w:color w:val="auto"/>
          <w:sz w:val="28"/>
          <w:szCs w:val="28"/>
          <w:highlight w:val="none"/>
          <w:lang w:val="en-US" w:eastAsia="zh-CN"/>
        </w:rPr>
      </w:pPr>
    </w:p>
    <w:p>
      <w:pPr>
        <w:pStyle w:val="5"/>
        <w:numPr>
          <w:ilvl w:val="0"/>
          <w:numId w:val="5"/>
        </w:numPr>
        <w:rPr>
          <w:rFonts w:hint="eastAsia" w:asciiTheme="minorEastAsia" w:hAnsiTheme="minorEastAsia" w:eastAsiaTheme="minorEastAsia"/>
          <w:color w:val="auto"/>
          <w:sz w:val="28"/>
          <w:szCs w:val="28"/>
          <w:highlight w:val="none"/>
        </w:rPr>
      </w:pPr>
      <w:bookmarkStart w:id="162" w:name="_Toc32430"/>
      <w:bookmarkStart w:id="163" w:name="_Toc19423"/>
      <w:r>
        <w:rPr>
          <w:rFonts w:hint="eastAsia" w:asciiTheme="minorEastAsia" w:hAnsiTheme="minorEastAsia" w:eastAsiaTheme="minorEastAsia"/>
          <w:color w:val="auto"/>
          <w:sz w:val="28"/>
          <w:szCs w:val="28"/>
          <w:highlight w:val="none"/>
        </w:rPr>
        <w:t>报价表</w:t>
      </w:r>
      <w:bookmarkEnd w:id="162"/>
      <w:bookmarkEnd w:id="163"/>
    </w:p>
    <w:tbl>
      <w:tblPr>
        <w:tblStyle w:val="23"/>
        <w:tblW w:w="87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74"/>
        <w:gridCol w:w="4022"/>
        <w:gridCol w:w="64"/>
        <w:gridCol w:w="1531"/>
        <w:gridCol w:w="531"/>
        <w:gridCol w:w="16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80" w:type="dxa"/>
            <w:gridSpan w:val="6"/>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单位工程招标控制价汇总表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5060"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工程名称：从化公司2024年太平厂硫酸铝加药间改造项目</w:t>
            </w:r>
          </w:p>
        </w:tc>
        <w:tc>
          <w:tcPr>
            <w:tcW w:w="1531" w:type="dxa"/>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189"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974"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4022"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汇总内容</w:t>
            </w:r>
          </w:p>
        </w:tc>
        <w:tc>
          <w:tcPr>
            <w:tcW w:w="2126"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1658"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0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分部分项合计</w:t>
            </w:r>
          </w:p>
        </w:tc>
        <w:tc>
          <w:tcPr>
            <w:tcW w:w="21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措施合计</w:t>
            </w:r>
          </w:p>
        </w:tc>
        <w:tc>
          <w:tcPr>
            <w:tcW w:w="21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5541.26</w:t>
            </w:r>
          </w:p>
        </w:tc>
        <w:tc>
          <w:tcPr>
            <w:tcW w:w="16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40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绿色施工安全防护措施费</w:t>
            </w:r>
          </w:p>
        </w:tc>
        <w:tc>
          <w:tcPr>
            <w:tcW w:w="21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5541.26</w:t>
            </w:r>
          </w:p>
        </w:tc>
        <w:tc>
          <w:tcPr>
            <w:tcW w:w="16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40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其他措施费</w:t>
            </w:r>
          </w:p>
        </w:tc>
        <w:tc>
          <w:tcPr>
            <w:tcW w:w="21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0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其他项目</w:t>
            </w:r>
          </w:p>
        </w:tc>
        <w:tc>
          <w:tcPr>
            <w:tcW w:w="21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40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暂列金额</w:t>
            </w:r>
          </w:p>
        </w:tc>
        <w:tc>
          <w:tcPr>
            <w:tcW w:w="21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0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c>
          <w:tcPr>
            <w:tcW w:w="21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40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计日工</w:t>
            </w:r>
          </w:p>
        </w:tc>
        <w:tc>
          <w:tcPr>
            <w:tcW w:w="21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0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总承包服务费</w:t>
            </w:r>
          </w:p>
        </w:tc>
        <w:tc>
          <w:tcPr>
            <w:tcW w:w="21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40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预算包干费</w:t>
            </w:r>
          </w:p>
        </w:tc>
        <w:tc>
          <w:tcPr>
            <w:tcW w:w="21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40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工程优质费</w:t>
            </w:r>
          </w:p>
        </w:tc>
        <w:tc>
          <w:tcPr>
            <w:tcW w:w="21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40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概算幅度差</w:t>
            </w:r>
          </w:p>
        </w:tc>
        <w:tc>
          <w:tcPr>
            <w:tcW w:w="21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40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索赔费用</w:t>
            </w:r>
          </w:p>
        </w:tc>
        <w:tc>
          <w:tcPr>
            <w:tcW w:w="21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40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现场签证费用</w:t>
            </w:r>
          </w:p>
        </w:tc>
        <w:tc>
          <w:tcPr>
            <w:tcW w:w="21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40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其他费用</w:t>
            </w:r>
          </w:p>
        </w:tc>
        <w:tc>
          <w:tcPr>
            <w:tcW w:w="21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0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税前工程造价</w:t>
            </w:r>
          </w:p>
        </w:tc>
        <w:tc>
          <w:tcPr>
            <w:tcW w:w="21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0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增值税销项税额</w:t>
            </w:r>
          </w:p>
        </w:tc>
        <w:tc>
          <w:tcPr>
            <w:tcW w:w="21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0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总造价</w:t>
            </w:r>
          </w:p>
        </w:tc>
        <w:tc>
          <w:tcPr>
            <w:tcW w:w="21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0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人工费</w:t>
            </w:r>
          </w:p>
        </w:tc>
        <w:tc>
          <w:tcPr>
            <w:tcW w:w="212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6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74"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022"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jc w:val="left"/>
            </w:pPr>
          </w:p>
        </w:tc>
        <w:tc>
          <w:tcPr>
            <w:tcW w:w="2126" w:type="dxa"/>
            <w:gridSpan w:val="3"/>
            <w:tcBorders>
              <w:top w:val="single" w:color="000000" w:sz="4" w:space="0"/>
              <w:left w:val="single" w:color="000000" w:sz="8"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658"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974" w:type="dxa"/>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4022" w:type="dxa"/>
            <w:tcBorders>
              <w:top w:val="nil"/>
              <w:left w:val="nil"/>
              <w:bottom w:val="nil"/>
              <w:right w:val="nil"/>
            </w:tcBorders>
            <w:shd w:val="clear" w:color="FFFFFF" w:fill="FFFFFF"/>
            <w:vAlign w:val="center"/>
          </w:tcPr>
          <w:p>
            <w:pPr>
              <w:jc w:val="left"/>
            </w:pPr>
          </w:p>
        </w:tc>
        <w:tc>
          <w:tcPr>
            <w:tcW w:w="2126" w:type="dxa"/>
            <w:gridSpan w:val="3"/>
            <w:tcBorders>
              <w:top w:val="nil"/>
              <w:left w:val="nil"/>
              <w:bottom w:val="nil"/>
              <w:right w:val="nil"/>
            </w:tcBorders>
            <w:shd w:val="clear" w:color="FFFFFF" w:fill="FFFFFF"/>
            <w:vAlign w:val="center"/>
          </w:tcPr>
          <w:p>
            <w:pPr>
              <w:jc w:val="right"/>
            </w:pPr>
          </w:p>
        </w:tc>
        <w:tc>
          <w:tcPr>
            <w:tcW w:w="1658" w:type="dxa"/>
            <w:tcBorders>
              <w:top w:val="nil"/>
              <w:left w:val="nil"/>
              <w:bottom w:val="nil"/>
              <w:right w:val="nil"/>
            </w:tcBorders>
            <w:shd w:val="clear" w:color="FFFFFF" w:fill="FFFFFF"/>
            <w:vAlign w:val="center"/>
          </w:tcPr>
          <w:p>
            <w:pPr>
              <w:jc w:val="right"/>
            </w:pPr>
          </w:p>
        </w:tc>
      </w:tr>
    </w:tbl>
    <w:p>
      <w:pPr>
        <w:pStyle w:val="46"/>
        <w:rPr>
          <w:rFonts w:ascii="宋体" w:hAnsi="宋体" w:cs="宋体"/>
          <w:b/>
          <w:bCs/>
          <w:szCs w:val="21"/>
        </w:rPr>
      </w:pPr>
    </w:p>
    <w:p>
      <w:pPr>
        <w:pStyle w:val="46"/>
        <w:rPr>
          <w:rFonts w:ascii="宋体" w:hAnsi="宋体" w:cs="宋体"/>
          <w:b/>
          <w:bCs/>
          <w:szCs w:val="21"/>
        </w:rPr>
      </w:pPr>
    </w:p>
    <w:tbl>
      <w:tblPr>
        <w:tblStyle w:val="23"/>
        <w:tblW w:w="88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64"/>
        <w:gridCol w:w="1416"/>
        <w:gridCol w:w="951"/>
        <w:gridCol w:w="1915"/>
        <w:gridCol w:w="180"/>
        <w:gridCol w:w="429"/>
        <w:gridCol w:w="752"/>
        <w:gridCol w:w="144"/>
        <w:gridCol w:w="772"/>
        <w:gridCol w:w="1116"/>
        <w:gridCol w:w="6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886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4846"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工程名称：从化公司2024年太平厂硫酸铝加药间改造项目</w:t>
            </w:r>
          </w:p>
        </w:tc>
        <w:tc>
          <w:tcPr>
            <w:tcW w:w="1505"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509"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564"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95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09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42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75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2653"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56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09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52"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16"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综合单价</w:t>
            </w:r>
          </w:p>
        </w:tc>
        <w:tc>
          <w:tcPr>
            <w:tcW w:w="1116"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62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56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09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2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52"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16"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pPr>
          </w:p>
        </w:tc>
        <w:tc>
          <w:tcPr>
            <w:tcW w:w="111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2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56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整个项目</w:t>
            </w:r>
          </w:p>
        </w:tc>
        <w:tc>
          <w:tcPr>
            <w:tcW w:w="2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7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62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3" w:hRule="atLeast"/>
        </w:trPr>
        <w:tc>
          <w:tcPr>
            <w:tcW w:w="56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050101006001</w:t>
            </w:r>
          </w:p>
        </w:tc>
        <w:tc>
          <w:tcPr>
            <w:tcW w:w="9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清除草皮</w:t>
            </w:r>
          </w:p>
        </w:tc>
        <w:tc>
          <w:tcPr>
            <w:tcW w:w="2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1.铲草，清理草坪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2.综合考虑:铲除方式及全部内容</w:t>
            </w:r>
          </w:p>
        </w:tc>
        <w:tc>
          <w:tcPr>
            <w:tcW w:w="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23.1</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62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4" w:hRule="atLeast"/>
        </w:trPr>
        <w:tc>
          <w:tcPr>
            <w:tcW w:w="56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010101001001</w:t>
            </w:r>
          </w:p>
        </w:tc>
        <w:tc>
          <w:tcPr>
            <w:tcW w:w="9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平整场地</w:t>
            </w:r>
          </w:p>
        </w:tc>
        <w:tc>
          <w:tcPr>
            <w:tcW w:w="2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1.平整场地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2.综合考虑:平整方式及范围</w:t>
            </w:r>
          </w:p>
        </w:tc>
        <w:tc>
          <w:tcPr>
            <w:tcW w:w="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23.1</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62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56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010103001001</w:t>
            </w:r>
          </w:p>
        </w:tc>
        <w:tc>
          <w:tcPr>
            <w:tcW w:w="9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回填方</w:t>
            </w:r>
          </w:p>
        </w:tc>
        <w:tc>
          <w:tcPr>
            <w:tcW w:w="2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1.回填砂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2.综合考虑:回填砂厚度</w:t>
            </w:r>
          </w:p>
        </w:tc>
        <w:tc>
          <w:tcPr>
            <w:tcW w:w="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62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56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040303002001</w:t>
            </w:r>
          </w:p>
        </w:tc>
        <w:tc>
          <w:tcPr>
            <w:tcW w:w="9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钢筋混凝土基础</w:t>
            </w:r>
          </w:p>
        </w:tc>
        <w:tc>
          <w:tcPr>
            <w:tcW w:w="2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1.混凝土强度等级:C30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2.钢筋规格:φ10mm</w:t>
            </w:r>
          </w:p>
        </w:tc>
        <w:tc>
          <w:tcPr>
            <w:tcW w:w="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6.775</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62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56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011702025001</w:t>
            </w:r>
          </w:p>
        </w:tc>
        <w:tc>
          <w:tcPr>
            <w:tcW w:w="9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砖砌围墙</w:t>
            </w:r>
          </w:p>
        </w:tc>
        <w:tc>
          <w:tcPr>
            <w:tcW w:w="2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1.构件类型:围墙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2.墙围厚度:35cm</w:t>
            </w:r>
          </w:p>
        </w:tc>
        <w:tc>
          <w:tcPr>
            <w:tcW w:w="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7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7</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62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56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060104013001</w:t>
            </w:r>
          </w:p>
        </w:tc>
        <w:tc>
          <w:tcPr>
            <w:tcW w:w="9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水泥砂浆整体面层</w:t>
            </w:r>
          </w:p>
        </w:tc>
        <w:tc>
          <w:tcPr>
            <w:tcW w:w="2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1.水泥砂浆整体面层 20mm</w:t>
            </w:r>
          </w:p>
        </w:tc>
        <w:tc>
          <w:tcPr>
            <w:tcW w:w="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7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59</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62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56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031201005001</w:t>
            </w:r>
          </w:p>
        </w:tc>
        <w:tc>
          <w:tcPr>
            <w:tcW w:w="9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围墙刷油</w:t>
            </w:r>
          </w:p>
        </w:tc>
        <w:tc>
          <w:tcPr>
            <w:tcW w:w="2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1.油漆品种:厚漆(黄色专业围墙油漆)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2.墙体抹灰:1遍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3.涂刷遍数:2遍</w:t>
            </w:r>
          </w:p>
        </w:tc>
        <w:tc>
          <w:tcPr>
            <w:tcW w:w="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30.5</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62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56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011303001001</w:t>
            </w:r>
          </w:p>
        </w:tc>
        <w:tc>
          <w:tcPr>
            <w:tcW w:w="9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遮雨棚制作、安装</w:t>
            </w:r>
          </w:p>
        </w:tc>
        <w:tc>
          <w:tcPr>
            <w:tcW w:w="2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1.骨架类型:不锈钢骨架，规格尺寸综合考虑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2.面层材料品种、规格:5mm厚PC耐力板</w:t>
            </w:r>
          </w:p>
        </w:tc>
        <w:tc>
          <w:tcPr>
            <w:tcW w:w="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7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36.25</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62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56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030113023001</w:t>
            </w:r>
          </w:p>
        </w:tc>
        <w:tc>
          <w:tcPr>
            <w:tcW w:w="9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药罐制作、安装、加固</w:t>
            </w:r>
          </w:p>
        </w:tc>
        <w:tc>
          <w:tcPr>
            <w:tcW w:w="2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1.药罐</w:t>
            </w:r>
            <w:r>
              <w:rPr>
                <w:rFonts w:hint="eastAsia" w:ascii="宋体" w:hAnsi="宋体" w:eastAsia="宋体" w:cs="宋体"/>
                <w:i w:val="0"/>
                <w:color w:val="000000"/>
                <w:kern w:val="0"/>
                <w:sz w:val="20"/>
                <w:szCs w:val="20"/>
                <w:u w:val="none"/>
                <w:lang w:val="en-US" w:eastAsia="zh-CN" w:bidi="ar"/>
              </w:rPr>
              <w:t>制作、安装、加固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2.材料做法:200mm的槽钢 40m(制作+安装），喷防腐漆进行加固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3.综合考虑全部内容</w:t>
            </w:r>
          </w:p>
        </w:tc>
        <w:tc>
          <w:tcPr>
            <w:tcW w:w="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7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62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1" w:hRule="atLeast"/>
        </w:trPr>
        <w:tc>
          <w:tcPr>
            <w:tcW w:w="56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040602017001</w:t>
            </w:r>
          </w:p>
        </w:tc>
        <w:tc>
          <w:tcPr>
            <w:tcW w:w="9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药桶搅拌机</w:t>
            </w:r>
          </w:p>
        </w:tc>
        <w:tc>
          <w:tcPr>
            <w:tcW w:w="209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1.类型:药桶搅拌机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3.参数:功率=3kw；转速=1480Rr/min</w:t>
            </w:r>
          </w:p>
        </w:tc>
        <w:tc>
          <w:tcPr>
            <w:tcW w:w="4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3</w:t>
            </w:r>
          </w:p>
        </w:tc>
        <w:tc>
          <w:tcPr>
            <w:tcW w:w="9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62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56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4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030109006001</w:t>
            </w:r>
          </w:p>
        </w:tc>
        <w:tc>
          <w:tcPr>
            <w:tcW w:w="95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隔膜泵安装</w:t>
            </w:r>
          </w:p>
        </w:tc>
        <w:tc>
          <w:tcPr>
            <w:tcW w:w="2095"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1.名称:隔膜泵 JXM-A44/1.2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2.型号:JXM-A44/1.2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3.规格:功率=1.5kw；转速=1480Rr/min</w:t>
            </w:r>
          </w:p>
        </w:tc>
        <w:tc>
          <w:tcPr>
            <w:tcW w:w="4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台</w:t>
            </w:r>
          </w:p>
        </w:tc>
        <w:tc>
          <w:tcPr>
            <w:tcW w:w="75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w:t>
            </w:r>
          </w:p>
        </w:tc>
        <w:tc>
          <w:tcPr>
            <w:tcW w:w="916"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pPr>
          </w:p>
        </w:tc>
        <w:tc>
          <w:tcPr>
            <w:tcW w:w="11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62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564" w:type="dxa"/>
            <w:tcBorders>
              <w:top w:val="single" w:color="000000" w:sz="4" w:space="0"/>
              <w:left w:val="single" w:color="000000" w:sz="8" w:space="0"/>
              <w:bottom w:val="single" w:color="auto"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416" w:type="dxa"/>
            <w:tcBorders>
              <w:top w:val="single" w:color="000000" w:sz="4" w:space="0"/>
              <w:left w:val="single" w:color="000000" w:sz="8" w:space="0"/>
              <w:bottom w:val="single" w:color="auto" w:sz="4" w:space="0"/>
              <w:right w:val="single" w:color="000000"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031003008001</w:t>
            </w:r>
          </w:p>
        </w:tc>
        <w:tc>
          <w:tcPr>
            <w:tcW w:w="951" w:type="dxa"/>
            <w:tcBorders>
              <w:top w:val="single" w:color="000000" w:sz="4" w:space="0"/>
              <w:left w:val="single" w:color="000000" w:sz="8" w:space="0"/>
              <w:bottom w:val="single" w:color="auto" w:sz="4" w:space="0"/>
              <w:right w:val="single" w:color="000000"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Y型过滤器</w:t>
            </w:r>
          </w:p>
        </w:tc>
        <w:tc>
          <w:tcPr>
            <w:tcW w:w="2095" w:type="dxa"/>
            <w:gridSpan w:val="2"/>
            <w:tcBorders>
              <w:top w:val="single" w:color="000000" w:sz="4" w:space="0"/>
              <w:left w:val="single" w:color="000000" w:sz="8" w:space="0"/>
              <w:bottom w:val="single" w:color="auto" w:sz="4" w:space="0"/>
              <w:right w:val="single" w:color="000000"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1.材质:PE</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2.规格、压力等级:外径25mm</w:t>
            </w:r>
          </w:p>
        </w:tc>
        <w:tc>
          <w:tcPr>
            <w:tcW w:w="429" w:type="dxa"/>
            <w:tcBorders>
              <w:top w:val="single" w:color="000000" w:sz="4" w:space="0"/>
              <w:left w:val="single" w:color="000000" w:sz="8" w:space="0"/>
              <w:bottom w:val="single" w:color="auto" w:sz="4" w:space="0"/>
              <w:right w:val="single" w:color="000000" w:sz="4" w:space="0"/>
            </w:tcBorders>
            <w:shd w:val="clear" w:color="FFFFFF" w:fill="FFFFFF"/>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组</w:t>
            </w:r>
          </w:p>
        </w:tc>
        <w:tc>
          <w:tcPr>
            <w:tcW w:w="752" w:type="dxa"/>
            <w:tcBorders>
              <w:top w:val="single" w:color="000000" w:sz="4" w:space="0"/>
              <w:left w:val="single" w:color="000000" w:sz="8" w:space="0"/>
              <w:bottom w:val="single" w:color="auto" w:sz="4" w:space="0"/>
              <w:right w:val="single" w:color="000000" w:sz="4" w:space="0"/>
            </w:tcBorders>
            <w:shd w:val="clear" w:color="FFFFFF" w:fill="FFFFFF"/>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w:t>
            </w:r>
          </w:p>
        </w:tc>
        <w:tc>
          <w:tcPr>
            <w:tcW w:w="916" w:type="dxa"/>
            <w:gridSpan w:val="2"/>
            <w:tcBorders>
              <w:top w:val="single" w:color="000000" w:sz="4" w:space="0"/>
              <w:left w:val="single" w:color="000000" w:sz="8" w:space="0"/>
              <w:bottom w:val="single" w:color="auto" w:sz="4" w:space="0"/>
              <w:right w:val="single" w:color="000000" w:sz="4" w:space="0"/>
            </w:tcBorders>
            <w:shd w:val="clear" w:color="FFFFFF" w:fill="FFFFFF"/>
            <w:vAlign w:val="center"/>
          </w:tcPr>
          <w:p>
            <w:pPr>
              <w:keepNext w:val="0"/>
              <w:keepLines w:val="0"/>
              <w:widowControl/>
              <w:suppressLineNumbers w:val="0"/>
              <w:jc w:val="right"/>
              <w:textAlignment w:val="center"/>
            </w:pPr>
          </w:p>
        </w:tc>
        <w:tc>
          <w:tcPr>
            <w:tcW w:w="1116" w:type="dxa"/>
            <w:tcBorders>
              <w:top w:val="single" w:color="000000" w:sz="4" w:space="0"/>
              <w:left w:val="single" w:color="000000" w:sz="4" w:space="0"/>
              <w:bottom w:val="single" w:color="auto"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621" w:type="dxa"/>
            <w:tcBorders>
              <w:top w:val="single" w:color="000000" w:sz="4" w:space="0"/>
              <w:left w:val="single" w:color="000000" w:sz="4" w:space="0"/>
              <w:bottom w:val="single" w:color="auto"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2" w:hRule="atLeast"/>
        </w:trPr>
        <w:tc>
          <w:tcPr>
            <w:tcW w:w="564"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13</w:t>
            </w:r>
          </w:p>
        </w:tc>
        <w:tc>
          <w:tcPr>
            <w:tcW w:w="1416"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030807005001</w:t>
            </w:r>
          </w:p>
        </w:tc>
        <w:tc>
          <w:tcPr>
            <w:tcW w:w="951"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低压安全阀门</w:t>
            </w:r>
          </w:p>
        </w:tc>
        <w:tc>
          <w:tcPr>
            <w:tcW w:w="2095"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1.材质:PE</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2.规格、压力等级:外径25mm</w:t>
            </w:r>
          </w:p>
        </w:tc>
        <w:tc>
          <w:tcPr>
            <w:tcW w:w="429"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个</w:t>
            </w:r>
          </w:p>
        </w:tc>
        <w:tc>
          <w:tcPr>
            <w:tcW w:w="752"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0"/>
                <w:szCs w:val="20"/>
                <w:u w:val="none"/>
                <w:lang w:val="en-US" w:eastAsia="zh-CN" w:bidi="ar"/>
              </w:rPr>
              <w:t>1</w:t>
            </w:r>
          </w:p>
        </w:tc>
        <w:tc>
          <w:tcPr>
            <w:tcW w:w="916"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center"/>
            </w:pPr>
          </w:p>
        </w:tc>
        <w:tc>
          <w:tcPr>
            <w:tcW w:w="1116"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center"/>
            </w:pPr>
          </w:p>
        </w:tc>
        <w:tc>
          <w:tcPr>
            <w:tcW w:w="621" w:type="dxa"/>
            <w:tcBorders>
              <w:top w:val="single" w:color="auto" w:sz="4" w:space="0"/>
              <w:left w:val="single" w:color="auto" w:sz="4" w:space="0"/>
              <w:bottom w:val="single" w:color="auto" w:sz="4" w:space="0"/>
              <w:right w:val="single" w:color="auto" w:sz="4" w:space="0"/>
            </w:tcBorders>
            <w:shd w:val="clear" w:color="FFFFFF" w:fill="FFFFFF"/>
            <w:vAlign w:val="center"/>
          </w:tcPr>
          <w:p>
            <w:pPr>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7123"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single"/>
              </w:rPr>
            </w:pPr>
            <w:r>
              <w:rPr>
                <w:rFonts w:hint="eastAsia" w:ascii="宋体" w:hAnsi="宋体" w:eastAsia="宋体" w:cs="宋体"/>
                <w:i w:val="0"/>
                <w:iCs w:val="0"/>
                <w:color w:val="000000"/>
                <w:kern w:val="0"/>
                <w:sz w:val="20"/>
                <w:szCs w:val="20"/>
                <w:u w:val="none"/>
                <w:lang w:val="en-US" w:eastAsia="zh-CN" w:bidi="ar"/>
              </w:rPr>
              <w:t>本页小计</w:t>
            </w:r>
          </w:p>
        </w:tc>
        <w:tc>
          <w:tcPr>
            <w:tcW w:w="1116"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621" w:type="dxa"/>
            <w:tcBorders>
              <w:top w:val="single" w:color="auto" w:sz="4" w:space="0"/>
              <w:left w:val="single" w:color="auto" w:sz="4" w:space="0"/>
              <w:bottom w:val="single" w:color="auto" w:sz="4" w:space="0"/>
              <w:right w:val="single" w:color="auto" w:sz="4" w:space="0"/>
            </w:tcBorders>
            <w:shd w:val="clear" w:color="FFFFFF" w:fill="FFFFFF"/>
            <w:vAlign w:val="center"/>
          </w:tcPr>
          <w:p>
            <w:pPr>
              <w:jc w:val="right"/>
            </w:pPr>
          </w:p>
        </w:tc>
      </w:tr>
    </w:tbl>
    <w:p>
      <w:pPr>
        <w:pStyle w:val="46"/>
        <w:rPr>
          <w:rFonts w:ascii="宋体" w:hAnsi="宋体" w:cs="宋体"/>
          <w:b/>
          <w:bCs/>
          <w:szCs w:val="21"/>
        </w:rPr>
      </w:pPr>
    </w:p>
    <w:tbl>
      <w:tblPr>
        <w:tblStyle w:val="2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99"/>
        <w:gridCol w:w="1416"/>
        <w:gridCol w:w="1050"/>
        <w:gridCol w:w="2058"/>
        <w:gridCol w:w="187"/>
        <w:gridCol w:w="416"/>
        <w:gridCol w:w="737"/>
        <w:gridCol w:w="114"/>
        <w:gridCol w:w="680"/>
        <w:gridCol w:w="1116"/>
        <w:gridCol w:w="6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5000" w:type="pct"/>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828" w:type="pct"/>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工程名称：从化公司2024年太平厂硫酸铝加药间改造项目</w:t>
            </w:r>
          </w:p>
        </w:tc>
        <w:tc>
          <w:tcPr>
            <w:tcW w:w="802" w:type="pct"/>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1368" w:type="pct"/>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31" w:type="pct"/>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781"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580"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239" w:type="pct"/>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229"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407"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1430" w:type="pct"/>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31" w:type="pct"/>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81"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80"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39" w:type="pct"/>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29"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07"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5" w:type="pct"/>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616" w:type="pct"/>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378"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331" w:type="pct"/>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781"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80"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39" w:type="pct"/>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29"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07"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5" w:type="pct"/>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16" w:type="pct"/>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378"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3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031003005001</w:t>
            </w:r>
          </w:p>
        </w:tc>
        <w:tc>
          <w:tcPr>
            <w:tcW w:w="5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塑料阀门</w:t>
            </w:r>
          </w:p>
        </w:tc>
        <w:tc>
          <w:tcPr>
            <w:tcW w:w="1239"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塑料阀门 带活接阀门开关 DN40</w:t>
            </w:r>
          </w:p>
        </w:tc>
        <w:tc>
          <w:tcPr>
            <w:tcW w:w="22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3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61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78"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33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030804014001</w:t>
            </w:r>
          </w:p>
        </w:tc>
        <w:tc>
          <w:tcPr>
            <w:tcW w:w="5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低压塑料管件</w:t>
            </w:r>
          </w:p>
        </w:tc>
        <w:tc>
          <w:tcPr>
            <w:tcW w:w="1239"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1.材质:PVC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2.规格:DN40</w:t>
            </w:r>
          </w:p>
        </w:tc>
        <w:tc>
          <w:tcPr>
            <w:tcW w:w="22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43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61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78"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33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030801016001</w:t>
            </w:r>
          </w:p>
        </w:tc>
        <w:tc>
          <w:tcPr>
            <w:tcW w:w="5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低压塑料管</w:t>
            </w:r>
          </w:p>
        </w:tc>
        <w:tc>
          <w:tcPr>
            <w:tcW w:w="1239"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1.材质:PVC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2.规格:DN40</w:t>
            </w:r>
          </w:p>
        </w:tc>
        <w:tc>
          <w:tcPr>
            <w:tcW w:w="22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4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43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61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78"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3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030801016002</w:t>
            </w:r>
          </w:p>
        </w:tc>
        <w:tc>
          <w:tcPr>
            <w:tcW w:w="5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低压塑料管</w:t>
            </w:r>
          </w:p>
        </w:tc>
        <w:tc>
          <w:tcPr>
            <w:tcW w:w="1239"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1.材质:PVC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2.规格:DN20</w:t>
            </w:r>
          </w:p>
        </w:tc>
        <w:tc>
          <w:tcPr>
            <w:tcW w:w="22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4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43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61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78"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33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030404017001</w:t>
            </w:r>
          </w:p>
        </w:tc>
        <w:tc>
          <w:tcPr>
            <w:tcW w:w="5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配电箱</w:t>
            </w:r>
          </w:p>
        </w:tc>
        <w:tc>
          <w:tcPr>
            <w:tcW w:w="1239"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1.名称:不锈钢电箱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2.规格:600*600*350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3.安装方式:悬挂式</w:t>
            </w:r>
          </w:p>
        </w:tc>
        <w:tc>
          <w:tcPr>
            <w:tcW w:w="22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3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61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78"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3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030406008001</w:t>
            </w:r>
          </w:p>
        </w:tc>
        <w:tc>
          <w:tcPr>
            <w:tcW w:w="5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变频器安装</w:t>
            </w:r>
          </w:p>
        </w:tc>
        <w:tc>
          <w:tcPr>
            <w:tcW w:w="1239"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1.名称:变频器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2.容量(kW):5KW</w:t>
            </w:r>
          </w:p>
        </w:tc>
        <w:tc>
          <w:tcPr>
            <w:tcW w:w="22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3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61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78"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33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030408001001</w:t>
            </w:r>
          </w:p>
        </w:tc>
        <w:tc>
          <w:tcPr>
            <w:tcW w:w="5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w:t>
            </w:r>
          </w:p>
        </w:tc>
        <w:tc>
          <w:tcPr>
            <w:tcW w:w="1239"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1.名称:电力电缆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2.型号:RVVP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3.规格:5*6</w:t>
            </w:r>
          </w:p>
        </w:tc>
        <w:tc>
          <w:tcPr>
            <w:tcW w:w="22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4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43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61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78"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33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080902006001</w:t>
            </w:r>
          </w:p>
        </w:tc>
        <w:tc>
          <w:tcPr>
            <w:tcW w:w="58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液位计</w:t>
            </w:r>
          </w:p>
        </w:tc>
        <w:tc>
          <w:tcPr>
            <w:tcW w:w="1239"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1.名称:液位计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2.规格:2.5m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3.类型:玻璃管直读液位计</w:t>
            </w:r>
          </w:p>
        </w:tc>
        <w:tc>
          <w:tcPr>
            <w:tcW w:w="22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35"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61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78"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005" w:type="pct"/>
            <w:gridSpan w:val="9"/>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61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78"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005" w:type="pct"/>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616"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378"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pStyle w:val="46"/>
        <w:rPr>
          <w:rFonts w:ascii="宋体" w:hAnsi="宋体" w:cs="宋体"/>
          <w:b/>
          <w:bCs/>
          <w:szCs w:val="21"/>
        </w:rPr>
      </w:pPr>
    </w:p>
    <w:p>
      <w:pPr>
        <w:pStyle w:val="46"/>
        <w:rPr>
          <w:rFonts w:ascii="宋体" w:hAnsi="宋体" w:cs="宋体"/>
          <w:b/>
          <w:bCs/>
          <w:szCs w:val="21"/>
        </w:rPr>
      </w:pPr>
    </w:p>
    <w:tbl>
      <w:tblPr>
        <w:tblStyle w:val="23"/>
        <w:tblW w:w="87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42"/>
        <w:gridCol w:w="1416"/>
        <w:gridCol w:w="1404"/>
        <w:gridCol w:w="1084"/>
        <w:gridCol w:w="556"/>
        <w:gridCol w:w="170"/>
        <w:gridCol w:w="1005"/>
        <w:gridCol w:w="467"/>
        <w:gridCol w:w="296"/>
        <w:gridCol w:w="774"/>
        <w:gridCol w:w="10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 w:hRule="atLeast"/>
        </w:trPr>
        <w:tc>
          <w:tcPr>
            <w:tcW w:w="872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002"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工程名称：从化公司2024年太平厂硫酸铝加药间改造项目</w:t>
            </w:r>
          </w:p>
        </w:tc>
        <w:tc>
          <w:tcPr>
            <w:tcW w:w="1642"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076" w:type="dxa"/>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 w:hRule="atLeast"/>
        </w:trPr>
        <w:tc>
          <w:tcPr>
            <w:tcW w:w="54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404"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084"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726"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00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763"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774"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调整后金额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1006"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54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LSSGCSF00001</w:t>
            </w:r>
          </w:p>
        </w:tc>
        <w:tc>
          <w:tcPr>
            <w:tcW w:w="14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绿色施工安全防护措施费</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分部分项人工费+分部分项机具费</w:t>
            </w:r>
          </w:p>
        </w:tc>
        <w:tc>
          <w:tcPr>
            <w:tcW w:w="72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35.77</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5541.26</w:t>
            </w:r>
          </w:p>
        </w:tc>
        <w:tc>
          <w:tcPr>
            <w:tcW w:w="7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kern w:val="0"/>
                <w:sz w:val="20"/>
                <w:szCs w:val="20"/>
                <w:u w:val="none"/>
                <w:lang w:val="en-US" w:eastAsia="zh-CN" w:bidi="ar"/>
              </w:rPr>
            </w:pPr>
          </w:p>
        </w:tc>
        <w:tc>
          <w:tcPr>
            <w:tcW w:w="7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0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以分部分项的人工费与施工机具费之和为计算基础，费率35.77%</w:t>
            </w:r>
          </w:p>
        </w:tc>
      </w:tr>
    </w:tbl>
    <w:p>
      <w:pPr>
        <w:pStyle w:val="46"/>
        <w:rPr>
          <w:rFonts w:ascii="宋体" w:hAnsi="宋体" w:cs="宋体"/>
          <w:b/>
          <w:bCs/>
          <w:szCs w:val="21"/>
        </w:rPr>
      </w:pPr>
    </w:p>
    <w:p>
      <w:pPr>
        <w:pStyle w:val="46"/>
        <w:rPr>
          <w:rFonts w:ascii="宋体" w:hAnsi="宋体" w:cs="宋体"/>
          <w:b/>
          <w:bCs/>
          <w:szCs w:val="21"/>
        </w:rPr>
      </w:pPr>
    </w:p>
    <w:tbl>
      <w:tblPr>
        <w:tblStyle w:val="23"/>
        <w:tblW w:w="86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9"/>
        <w:gridCol w:w="2004"/>
        <w:gridCol w:w="2216"/>
        <w:gridCol w:w="161"/>
        <w:gridCol w:w="1332"/>
        <w:gridCol w:w="13"/>
        <w:gridCol w:w="833"/>
        <w:gridCol w:w="13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2" w:hRule="atLeast"/>
        </w:trPr>
        <w:tc>
          <w:tcPr>
            <w:tcW w:w="8640" w:type="dxa"/>
            <w:gridSpan w:val="8"/>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规费、税金项目清单与计价表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4979" w:type="dxa"/>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工程名称：从化公司2024年太平厂硫酸铝加药间改造项目</w:t>
            </w:r>
          </w:p>
        </w:tc>
        <w:tc>
          <w:tcPr>
            <w:tcW w:w="1506" w:type="dxa"/>
            <w:gridSpan w:val="3"/>
            <w:tcBorders>
              <w:top w:val="nil"/>
              <w:left w:val="nil"/>
              <w:bottom w:val="nil"/>
              <w:right w:val="nil"/>
            </w:tcBorders>
            <w:shd w:val="clear" w:color="FFFFFF"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w:t>
            </w:r>
          </w:p>
        </w:tc>
        <w:tc>
          <w:tcPr>
            <w:tcW w:w="2155"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9" w:hRule="atLeast"/>
        </w:trPr>
        <w:tc>
          <w:tcPr>
            <w:tcW w:w="759"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004"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377"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1332"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计算基数</w:t>
            </w:r>
          </w:p>
        </w:tc>
        <w:tc>
          <w:tcPr>
            <w:tcW w:w="846"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322"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trPr>
        <w:tc>
          <w:tcPr>
            <w:tcW w:w="75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0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增值税销项税额</w:t>
            </w:r>
          </w:p>
        </w:tc>
        <w:tc>
          <w:tcPr>
            <w:tcW w:w="237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分部分项合计+措施合计+其他项目</w:t>
            </w:r>
          </w:p>
        </w:tc>
        <w:tc>
          <w:tcPr>
            <w:tcW w:w="13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84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32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7318" w:type="dxa"/>
            <w:gridSpan w:val="7"/>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    计</w:t>
            </w:r>
          </w:p>
        </w:tc>
        <w:tc>
          <w:tcPr>
            <w:tcW w:w="1322"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bl>
    <w:p>
      <w:pPr>
        <w:numPr>
          <w:ilvl w:val="0"/>
          <w:numId w:val="0"/>
        </w:numPr>
      </w:pPr>
    </w:p>
    <w:p>
      <w:pPr>
        <w:pStyle w:val="5"/>
        <w:rPr>
          <w:rFonts w:hint="eastAsia" w:asciiTheme="majorEastAsia" w:hAnsiTheme="majorEastAsia" w:eastAsiaTheme="majorEastAsia"/>
          <w:color w:val="auto"/>
          <w:sz w:val="28"/>
          <w:szCs w:val="28"/>
          <w:highlight w:val="none"/>
          <w:lang w:eastAsia="zh-CN"/>
        </w:rPr>
      </w:pPr>
      <w:bookmarkStart w:id="164" w:name="_Toc16386"/>
      <w:bookmarkStart w:id="165" w:name="_Toc6058"/>
      <w:bookmarkStart w:id="166" w:name="_Toc87616402"/>
      <w:bookmarkStart w:id="167" w:name="_Toc88209965"/>
      <w:r>
        <w:rPr>
          <w:rFonts w:hint="eastAsia" w:eastAsiaTheme="majorEastAsia"/>
          <w:color w:val="auto"/>
          <w:highlight w:val="none"/>
          <w:lang w:val="en-US" w:eastAsia="zh-CN"/>
        </w:rPr>
        <w:t>6</w:t>
      </w:r>
      <w:r>
        <w:rPr>
          <w:rFonts w:hint="eastAsia" w:asciiTheme="majorEastAsia" w:hAnsiTheme="majorEastAsia" w:eastAsiaTheme="majorEastAsia"/>
          <w:color w:val="auto"/>
          <w:sz w:val="28"/>
          <w:szCs w:val="28"/>
          <w:highlight w:val="none"/>
        </w:rPr>
        <w:t>.其他资料</w:t>
      </w:r>
      <w:bookmarkEnd w:id="164"/>
      <w:bookmarkEnd w:id="165"/>
      <w:bookmarkEnd w:id="166"/>
      <w:bookmarkEnd w:id="167"/>
      <w:r>
        <w:rPr>
          <w:rFonts w:hint="eastAsia" w:asciiTheme="majorEastAsia" w:hAnsiTheme="majorEastAsia" w:eastAsiaTheme="majorEastAsia"/>
          <w:color w:val="auto"/>
          <w:sz w:val="28"/>
          <w:szCs w:val="28"/>
          <w:highlight w:val="none"/>
          <w:lang w:eastAsia="zh-CN"/>
        </w:rPr>
        <w:t>（</w:t>
      </w:r>
      <w:r>
        <w:rPr>
          <w:rFonts w:hint="eastAsia" w:asciiTheme="majorEastAsia" w:hAnsiTheme="majorEastAsia" w:eastAsiaTheme="majorEastAsia"/>
          <w:color w:val="auto"/>
          <w:sz w:val="28"/>
          <w:szCs w:val="28"/>
          <w:highlight w:val="none"/>
          <w:lang w:val="en-US" w:eastAsia="zh-CN"/>
        </w:rPr>
        <w:t>需提交报价文件软件版光盘</w:t>
      </w:r>
      <w:r>
        <w:rPr>
          <w:rFonts w:hint="eastAsia" w:asciiTheme="majorEastAsia" w:hAnsiTheme="majorEastAsia" w:eastAsiaTheme="majorEastAsia"/>
          <w:color w:val="auto"/>
          <w:sz w:val="28"/>
          <w:szCs w:val="28"/>
          <w:highlight w:val="none"/>
          <w:lang w:eastAsia="zh-CN"/>
        </w:rPr>
        <w:t>）</w:t>
      </w:r>
    </w:p>
    <w:p>
      <w:pPr>
        <w:adjustRightInd w:val="0"/>
        <w:snapToGrid w:val="0"/>
        <w:spacing w:line="600" w:lineRule="exact"/>
        <w:ind w:firstLine="570"/>
        <w:rPr>
          <w:rFonts w:ascii="仿宋_GB2312" w:eastAsia="仿宋_GB2312" w:hAnsiTheme="minorEastAsia"/>
          <w:color w:val="auto"/>
          <w:sz w:val="28"/>
          <w:szCs w:val="28"/>
          <w:highlight w:val="none"/>
        </w:rPr>
      </w:pPr>
      <w:r>
        <w:rPr>
          <w:rFonts w:ascii="仿宋_GB2312" w:eastAsia="仿宋_GB2312" w:hAnsiTheme="minorEastAsia"/>
          <w:color w:val="auto"/>
          <w:sz w:val="28"/>
          <w:szCs w:val="28"/>
          <w:highlight w:val="none"/>
        </w:rPr>
        <w:t>供应商须提交的其他资料</w:t>
      </w:r>
      <w:r>
        <w:rPr>
          <w:rFonts w:hint="eastAsia" w:ascii="仿宋_GB2312" w:eastAsia="仿宋_GB2312" w:hAnsiTheme="minorEastAsia"/>
          <w:color w:val="auto"/>
          <w:sz w:val="28"/>
          <w:szCs w:val="28"/>
          <w:highlight w:val="none"/>
        </w:rPr>
        <w:t>。</w:t>
      </w:r>
    </w:p>
    <w:p>
      <w:pPr>
        <w:rPr>
          <w:color w:val="auto"/>
          <w:highlight w:val="none"/>
        </w:rPr>
      </w:pPr>
    </w:p>
    <w:sectPr>
      <w:headerReference r:id="rId3" w:type="first"/>
      <w:footerReference r:id="rId6" w:type="first"/>
      <w:footerReference r:id="rId4" w:type="default"/>
      <w:footerReference r:id="rId5" w:type="even"/>
      <w:pgSz w:w="11906" w:h="16838"/>
      <w:pgMar w:top="2098" w:right="1474" w:bottom="1985" w:left="1588"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Batang">
    <w:altName w:val="Malgun Gothic"/>
    <w:panose1 w:val="02030600000101010101"/>
    <w:charset w:val="81"/>
    <w:family w:val="auto"/>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w:pict>
        <v:shape id="_x0000_s3075" o:spid="_x0000_s3075"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sz w:val="18"/>
      </w:rPr>
      <w:pict>
        <v:shape id="_x0000_s3076" o:spid="_x0000_s3076"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7"/>
                </w:pPr>
              </w:p>
              <w:p/>
            </w:txbxContent>
          </v:textbox>
        </v:shape>
      </w:pict>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2161893"/>
      <w:docPartObj>
        <w:docPartGallery w:val="autotext"/>
      </w:docPartObj>
    </w:sdtPr>
    <w:sdtContent>
      <w:p>
        <w:pPr>
          <w:pStyle w:val="17"/>
          <w:jc w:val="right"/>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98</w:t>
        </w:r>
        <w:r>
          <w:rPr>
            <w:rFonts w:hint="eastAsia" w:ascii="仿宋_GB2312" w:eastAsia="仿宋_GB2312"/>
            <w:sz w:val="28"/>
            <w:szCs w:val="28"/>
          </w:rPr>
          <w:fldChar w:fldCharType="end"/>
        </w:r>
        <w:r>
          <w:rPr>
            <w:rFonts w:hint="eastAsia" w:ascii="仿宋_GB2312" w:eastAsia="仿宋_GB2312"/>
            <w:sz w:val="28"/>
            <w:szCs w:val="28"/>
          </w:rPr>
          <w:t>-</w:t>
        </w:r>
      </w:p>
    </w:sdtContent>
  </w:sdt>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w:pict>
        <v:shape id="_x0000_s3073" o:spid="_x0000_s3073"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C88FE1"/>
    <w:multiLevelType w:val="singleLevel"/>
    <w:tmpl w:val="ABC88FE1"/>
    <w:lvl w:ilvl="0" w:tentative="0">
      <w:start w:val="5"/>
      <w:numFmt w:val="decimal"/>
      <w:lvlText w:val="%1."/>
      <w:lvlJc w:val="left"/>
      <w:pPr>
        <w:tabs>
          <w:tab w:val="left" w:pos="312"/>
        </w:tabs>
      </w:pPr>
    </w:lvl>
  </w:abstractNum>
  <w:abstractNum w:abstractNumId="1">
    <w:nsid w:val="CC9CF724"/>
    <w:multiLevelType w:val="singleLevel"/>
    <w:tmpl w:val="CC9CF724"/>
    <w:lvl w:ilvl="0" w:tentative="0">
      <w:start w:val="1"/>
      <w:numFmt w:val="chineseCounting"/>
      <w:suff w:val="space"/>
      <w:lvlText w:val="第%1章"/>
      <w:lvlJc w:val="left"/>
      <w:rPr>
        <w:rFonts w:hint="eastAsia"/>
      </w:rPr>
    </w:lvl>
  </w:abstractNum>
  <w:abstractNum w:abstractNumId="2">
    <w:nsid w:val="F474C9A6"/>
    <w:multiLevelType w:val="singleLevel"/>
    <w:tmpl w:val="F474C9A6"/>
    <w:lvl w:ilvl="0" w:tentative="0">
      <w:start w:val="10"/>
      <w:numFmt w:val="chineseCounting"/>
      <w:suff w:val="space"/>
      <w:lvlText w:val="第%1条"/>
      <w:lvlJc w:val="left"/>
      <w:rPr>
        <w:rFonts w:hint="eastAsia"/>
      </w:rPr>
    </w:lvl>
  </w:abstractNum>
  <w:abstractNum w:abstractNumId="3">
    <w:nsid w:val="4734DCE6"/>
    <w:multiLevelType w:val="singleLevel"/>
    <w:tmpl w:val="4734DCE6"/>
    <w:lvl w:ilvl="0" w:tentative="0">
      <w:start w:val="1"/>
      <w:numFmt w:val="decimal"/>
      <w:lvlText w:val="%1."/>
      <w:lvlJc w:val="left"/>
      <w:pPr>
        <w:tabs>
          <w:tab w:val="left" w:pos="312"/>
        </w:tabs>
      </w:pPr>
    </w:lvl>
  </w:abstractNum>
  <w:abstractNum w:abstractNumId="4">
    <w:nsid w:val="705D32C3"/>
    <w:multiLevelType w:val="singleLevel"/>
    <w:tmpl w:val="705D32C3"/>
    <w:lvl w:ilvl="0" w:tentative="0">
      <w:start w:val="5"/>
      <w:numFmt w:val="decimal"/>
      <w:lvlText w:val="%1."/>
      <w:lvlJc w:val="left"/>
      <w:pPr>
        <w:tabs>
          <w:tab w:val="left" w:pos="312"/>
        </w:tabs>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VhOWUxMzEzMDI2Mzc3ZGY5MDZjM2ZiNjk3NWFlMzkifQ=="/>
  </w:docVars>
  <w:rsids>
    <w:rsidRoot w:val="005D618A"/>
    <w:rsid w:val="003D60BA"/>
    <w:rsid w:val="00411689"/>
    <w:rsid w:val="005D618A"/>
    <w:rsid w:val="00911ECD"/>
    <w:rsid w:val="00A042E0"/>
    <w:rsid w:val="00B26BB1"/>
    <w:rsid w:val="00B26E21"/>
    <w:rsid w:val="00B741D7"/>
    <w:rsid w:val="00D4533C"/>
    <w:rsid w:val="00F83B64"/>
    <w:rsid w:val="013E3461"/>
    <w:rsid w:val="01BB0F13"/>
    <w:rsid w:val="02090C75"/>
    <w:rsid w:val="02A23A3C"/>
    <w:rsid w:val="02FB196F"/>
    <w:rsid w:val="035D130A"/>
    <w:rsid w:val="039110A9"/>
    <w:rsid w:val="03AC246A"/>
    <w:rsid w:val="03AE6061"/>
    <w:rsid w:val="03B23056"/>
    <w:rsid w:val="03DA023E"/>
    <w:rsid w:val="03DC3EBA"/>
    <w:rsid w:val="03F9794D"/>
    <w:rsid w:val="046A2461"/>
    <w:rsid w:val="051C2970"/>
    <w:rsid w:val="060C3611"/>
    <w:rsid w:val="06C64829"/>
    <w:rsid w:val="070E7B6E"/>
    <w:rsid w:val="071D62B7"/>
    <w:rsid w:val="077D16D2"/>
    <w:rsid w:val="082A69F3"/>
    <w:rsid w:val="08530426"/>
    <w:rsid w:val="08675FC8"/>
    <w:rsid w:val="09B713FD"/>
    <w:rsid w:val="09EF6ACC"/>
    <w:rsid w:val="0A315056"/>
    <w:rsid w:val="0A3E3B7B"/>
    <w:rsid w:val="0A694621"/>
    <w:rsid w:val="0A7A73D6"/>
    <w:rsid w:val="0AA213B4"/>
    <w:rsid w:val="0AF61C7E"/>
    <w:rsid w:val="0AFB45AD"/>
    <w:rsid w:val="0B351E9B"/>
    <w:rsid w:val="0B4C50D3"/>
    <w:rsid w:val="0B806B92"/>
    <w:rsid w:val="0B827E94"/>
    <w:rsid w:val="0B842F76"/>
    <w:rsid w:val="0B9B208E"/>
    <w:rsid w:val="0BD070E1"/>
    <w:rsid w:val="0BD65B6B"/>
    <w:rsid w:val="0C2361E7"/>
    <w:rsid w:val="0C247926"/>
    <w:rsid w:val="0D794204"/>
    <w:rsid w:val="0E2125D1"/>
    <w:rsid w:val="0E214211"/>
    <w:rsid w:val="0E5F2769"/>
    <w:rsid w:val="0ED8332F"/>
    <w:rsid w:val="0F4D75A3"/>
    <w:rsid w:val="0F5B2DCA"/>
    <w:rsid w:val="0F714D08"/>
    <w:rsid w:val="0FA20605"/>
    <w:rsid w:val="0FED051E"/>
    <w:rsid w:val="0FEE4C29"/>
    <w:rsid w:val="0FFD33F6"/>
    <w:rsid w:val="10031608"/>
    <w:rsid w:val="10046082"/>
    <w:rsid w:val="104974DD"/>
    <w:rsid w:val="111703D2"/>
    <w:rsid w:val="112B101A"/>
    <w:rsid w:val="119B53FC"/>
    <w:rsid w:val="1215733B"/>
    <w:rsid w:val="12424CDC"/>
    <w:rsid w:val="129A2738"/>
    <w:rsid w:val="12B56BF1"/>
    <w:rsid w:val="12CB1A89"/>
    <w:rsid w:val="131840FB"/>
    <w:rsid w:val="13467417"/>
    <w:rsid w:val="136E76CF"/>
    <w:rsid w:val="145F08C6"/>
    <w:rsid w:val="14E43F59"/>
    <w:rsid w:val="15776308"/>
    <w:rsid w:val="15BC6B3C"/>
    <w:rsid w:val="15EC2C59"/>
    <w:rsid w:val="16360A7B"/>
    <w:rsid w:val="164D40B0"/>
    <w:rsid w:val="1694429A"/>
    <w:rsid w:val="17635326"/>
    <w:rsid w:val="17B803EA"/>
    <w:rsid w:val="1815096B"/>
    <w:rsid w:val="18236EFD"/>
    <w:rsid w:val="18377249"/>
    <w:rsid w:val="185D743E"/>
    <w:rsid w:val="189D5B1F"/>
    <w:rsid w:val="18A34CD0"/>
    <w:rsid w:val="19A53EA8"/>
    <w:rsid w:val="19B64DBC"/>
    <w:rsid w:val="19EC6A4A"/>
    <w:rsid w:val="1A373ACF"/>
    <w:rsid w:val="1A7B10BA"/>
    <w:rsid w:val="1A895341"/>
    <w:rsid w:val="1B0D071F"/>
    <w:rsid w:val="1B4568CE"/>
    <w:rsid w:val="1B9015B7"/>
    <w:rsid w:val="1B950DA6"/>
    <w:rsid w:val="1BF54245"/>
    <w:rsid w:val="1D0E6976"/>
    <w:rsid w:val="1D5A79EE"/>
    <w:rsid w:val="1E0E2CD0"/>
    <w:rsid w:val="1E831280"/>
    <w:rsid w:val="1EBC4704"/>
    <w:rsid w:val="1EE522C8"/>
    <w:rsid w:val="1F172EB5"/>
    <w:rsid w:val="1F22070B"/>
    <w:rsid w:val="1F94592D"/>
    <w:rsid w:val="1FB860DE"/>
    <w:rsid w:val="203C5A02"/>
    <w:rsid w:val="209D4C94"/>
    <w:rsid w:val="20B44FCD"/>
    <w:rsid w:val="20E84705"/>
    <w:rsid w:val="218400BA"/>
    <w:rsid w:val="21AB1E2F"/>
    <w:rsid w:val="21D40498"/>
    <w:rsid w:val="22493963"/>
    <w:rsid w:val="22767047"/>
    <w:rsid w:val="23A05588"/>
    <w:rsid w:val="23BE7647"/>
    <w:rsid w:val="240476A1"/>
    <w:rsid w:val="24E953B9"/>
    <w:rsid w:val="25431AEB"/>
    <w:rsid w:val="25B875EB"/>
    <w:rsid w:val="25BE3BFB"/>
    <w:rsid w:val="25BF43FD"/>
    <w:rsid w:val="25F86BCD"/>
    <w:rsid w:val="2605748B"/>
    <w:rsid w:val="26396D26"/>
    <w:rsid w:val="264544A6"/>
    <w:rsid w:val="267702FB"/>
    <w:rsid w:val="269E416A"/>
    <w:rsid w:val="26C11C6B"/>
    <w:rsid w:val="272100D3"/>
    <w:rsid w:val="272C72FC"/>
    <w:rsid w:val="275131CB"/>
    <w:rsid w:val="278F6521"/>
    <w:rsid w:val="27EB149D"/>
    <w:rsid w:val="27FD3E52"/>
    <w:rsid w:val="28E11370"/>
    <w:rsid w:val="294A756A"/>
    <w:rsid w:val="29781BF8"/>
    <w:rsid w:val="297939E2"/>
    <w:rsid w:val="29C33ED0"/>
    <w:rsid w:val="29D5322D"/>
    <w:rsid w:val="2A025DD9"/>
    <w:rsid w:val="2A2619CB"/>
    <w:rsid w:val="2A7317D3"/>
    <w:rsid w:val="2A7C2231"/>
    <w:rsid w:val="2A920E4F"/>
    <w:rsid w:val="2ABB753D"/>
    <w:rsid w:val="2AFE6EC4"/>
    <w:rsid w:val="2B345DDC"/>
    <w:rsid w:val="2B7A49FA"/>
    <w:rsid w:val="2C3A579C"/>
    <w:rsid w:val="2C615D26"/>
    <w:rsid w:val="2CB679ED"/>
    <w:rsid w:val="2CE83C37"/>
    <w:rsid w:val="2CEB2FFC"/>
    <w:rsid w:val="2D173C07"/>
    <w:rsid w:val="2D424A86"/>
    <w:rsid w:val="2DDA66B7"/>
    <w:rsid w:val="2DFD70BE"/>
    <w:rsid w:val="2E6F2D11"/>
    <w:rsid w:val="2E7B52DB"/>
    <w:rsid w:val="2ED60115"/>
    <w:rsid w:val="2F324CFE"/>
    <w:rsid w:val="2FBA09F1"/>
    <w:rsid w:val="2FEF2ACF"/>
    <w:rsid w:val="2FF93D20"/>
    <w:rsid w:val="30540211"/>
    <w:rsid w:val="30E45100"/>
    <w:rsid w:val="31112A0D"/>
    <w:rsid w:val="3118711F"/>
    <w:rsid w:val="311F4B20"/>
    <w:rsid w:val="312D7741"/>
    <w:rsid w:val="316F137F"/>
    <w:rsid w:val="31815AF3"/>
    <w:rsid w:val="31DF525F"/>
    <w:rsid w:val="31EC162B"/>
    <w:rsid w:val="32324C2E"/>
    <w:rsid w:val="327171DF"/>
    <w:rsid w:val="3391569E"/>
    <w:rsid w:val="341E3434"/>
    <w:rsid w:val="34BB4442"/>
    <w:rsid w:val="3584136B"/>
    <w:rsid w:val="35FF5AA4"/>
    <w:rsid w:val="360B7EBA"/>
    <w:rsid w:val="36416867"/>
    <w:rsid w:val="367D5DD4"/>
    <w:rsid w:val="369C32FD"/>
    <w:rsid w:val="37666E72"/>
    <w:rsid w:val="38081EA3"/>
    <w:rsid w:val="38167A04"/>
    <w:rsid w:val="381C3783"/>
    <w:rsid w:val="382527BD"/>
    <w:rsid w:val="394B167A"/>
    <w:rsid w:val="39AD34EA"/>
    <w:rsid w:val="39DA2868"/>
    <w:rsid w:val="39DF6BF2"/>
    <w:rsid w:val="3A055F4B"/>
    <w:rsid w:val="3A4E4336"/>
    <w:rsid w:val="3A6007FE"/>
    <w:rsid w:val="3A802587"/>
    <w:rsid w:val="3A852164"/>
    <w:rsid w:val="3AF93D6C"/>
    <w:rsid w:val="3AFD06C8"/>
    <w:rsid w:val="3B477B26"/>
    <w:rsid w:val="3B7C2CE4"/>
    <w:rsid w:val="3BAF716B"/>
    <w:rsid w:val="3C0B5355"/>
    <w:rsid w:val="3CD4176B"/>
    <w:rsid w:val="3D1F44D9"/>
    <w:rsid w:val="3D5C38CD"/>
    <w:rsid w:val="3E5070F1"/>
    <w:rsid w:val="3E7569E0"/>
    <w:rsid w:val="3EC370CB"/>
    <w:rsid w:val="3F6C3589"/>
    <w:rsid w:val="3F850180"/>
    <w:rsid w:val="3F9004D6"/>
    <w:rsid w:val="3FEE7CFA"/>
    <w:rsid w:val="400E4D5E"/>
    <w:rsid w:val="40E1138C"/>
    <w:rsid w:val="413814BA"/>
    <w:rsid w:val="41872511"/>
    <w:rsid w:val="41DF1251"/>
    <w:rsid w:val="424236D9"/>
    <w:rsid w:val="42466655"/>
    <w:rsid w:val="42C82F57"/>
    <w:rsid w:val="435707E5"/>
    <w:rsid w:val="439927E1"/>
    <w:rsid w:val="43C76AF7"/>
    <w:rsid w:val="43E97E4A"/>
    <w:rsid w:val="440D65DA"/>
    <w:rsid w:val="446828F0"/>
    <w:rsid w:val="44A66DEA"/>
    <w:rsid w:val="45093E85"/>
    <w:rsid w:val="450B3BFA"/>
    <w:rsid w:val="456B6680"/>
    <w:rsid w:val="45C13B4D"/>
    <w:rsid w:val="46054BCA"/>
    <w:rsid w:val="464C6AFC"/>
    <w:rsid w:val="468B0091"/>
    <w:rsid w:val="46A107C3"/>
    <w:rsid w:val="46B15CE2"/>
    <w:rsid w:val="46BE113D"/>
    <w:rsid w:val="46E44B13"/>
    <w:rsid w:val="4703508A"/>
    <w:rsid w:val="475023F8"/>
    <w:rsid w:val="479A1E7B"/>
    <w:rsid w:val="479D361E"/>
    <w:rsid w:val="47B74789"/>
    <w:rsid w:val="48032A55"/>
    <w:rsid w:val="480F2B9D"/>
    <w:rsid w:val="48102176"/>
    <w:rsid w:val="48282920"/>
    <w:rsid w:val="483E1347"/>
    <w:rsid w:val="485321E0"/>
    <w:rsid w:val="48546AD3"/>
    <w:rsid w:val="48CA4868"/>
    <w:rsid w:val="48F005D3"/>
    <w:rsid w:val="49466522"/>
    <w:rsid w:val="49547ADD"/>
    <w:rsid w:val="49732351"/>
    <w:rsid w:val="498F4AF1"/>
    <w:rsid w:val="49C05787"/>
    <w:rsid w:val="49CF518D"/>
    <w:rsid w:val="49D56585"/>
    <w:rsid w:val="4A7F3979"/>
    <w:rsid w:val="4ADA1F63"/>
    <w:rsid w:val="4AE23D89"/>
    <w:rsid w:val="4B2038D0"/>
    <w:rsid w:val="4B296E7D"/>
    <w:rsid w:val="4B79394E"/>
    <w:rsid w:val="4B877F28"/>
    <w:rsid w:val="4CD200BA"/>
    <w:rsid w:val="4D2044E7"/>
    <w:rsid w:val="4D916BA6"/>
    <w:rsid w:val="4DC44169"/>
    <w:rsid w:val="4DE24E21"/>
    <w:rsid w:val="4E1B19A3"/>
    <w:rsid w:val="4E48787F"/>
    <w:rsid w:val="4EF0709E"/>
    <w:rsid w:val="4F0469A4"/>
    <w:rsid w:val="500E56F4"/>
    <w:rsid w:val="50540C73"/>
    <w:rsid w:val="50752AF8"/>
    <w:rsid w:val="513C6A7B"/>
    <w:rsid w:val="51711A0B"/>
    <w:rsid w:val="517300C9"/>
    <w:rsid w:val="52EC6EC2"/>
    <w:rsid w:val="532D486F"/>
    <w:rsid w:val="5333545B"/>
    <w:rsid w:val="538D0E89"/>
    <w:rsid w:val="53E16CB9"/>
    <w:rsid w:val="5450213C"/>
    <w:rsid w:val="546711F3"/>
    <w:rsid w:val="546C3825"/>
    <w:rsid w:val="54D24048"/>
    <w:rsid w:val="54D64CD5"/>
    <w:rsid w:val="5532287C"/>
    <w:rsid w:val="55887D69"/>
    <w:rsid w:val="55EE5D11"/>
    <w:rsid w:val="561A0928"/>
    <w:rsid w:val="56423872"/>
    <w:rsid w:val="569E06BC"/>
    <w:rsid w:val="56B279F0"/>
    <w:rsid w:val="56F20F86"/>
    <w:rsid w:val="579D710E"/>
    <w:rsid w:val="581F22F6"/>
    <w:rsid w:val="586E1E17"/>
    <w:rsid w:val="58862C35"/>
    <w:rsid w:val="58C14957"/>
    <w:rsid w:val="58CC23D2"/>
    <w:rsid w:val="58E66050"/>
    <w:rsid w:val="596B36B6"/>
    <w:rsid w:val="59E63F07"/>
    <w:rsid w:val="59FC7994"/>
    <w:rsid w:val="5AE83A50"/>
    <w:rsid w:val="5B353193"/>
    <w:rsid w:val="5BAB2917"/>
    <w:rsid w:val="5BFC33FA"/>
    <w:rsid w:val="5C3107A4"/>
    <w:rsid w:val="5C3B1B93"/>
    <w:rsid w:val="5C9220DF"/>
    <w:rsid w:val="5D4A15F3"/>
    <w:rsid w:val="5D69542A"/>
    <w:rsid w:val="5D783B72"/>
    <w:rsid w:val="5E0930EF"/>
    <w:rsid w:val="5E3D4D53"/>
    <w:rsid w:val="5E4717E6"/>
    <w:rsid w:val="5E55774C"/>
    <w:rsid w:val="5E8A70FF"/>
    <w:rsid w:val="60045F96"/>
    <w:rsid w:val="60104DDC"/>
    <w:rsid w:val="605C0804"/>
    <w:rsid w:val="60913E6F"/>
    <w:rsid w:val="61733C3E"/>
    <w:rsid w:val="6189617B"/>
    <w:rsid w:val="61B52BB6"/>
    <w:rsid w:val="61B749C2"/>
    <w:rsid w:val="62280D20"/>
    <w:rsid w:val="62B4786E"/>
    <w:rsid w:val="62CA2457"/>
    <w:rsid w:val="638240A1"/>
    <w:rsid w:val="63833423"/>
    <w:rsid w:val="63A5257B"/>
    <w:rsid w:val="63BD3DCC"/>
    <w:rsid w:val="63C61741"/>
    <w:rsid w:val="64560967"/>
    <w:rsid w:val="656B1D10"/>
    <w:rsid w:val="65B841F9"/>
    <w:rsid w:val="65FE3864"/>
    <w:rsid w:val="66022B28"/>
    <w:rsid w:val="66222ECC"/>
    <w:rsid w:val="664A38E2"/>
    <w:rsid w:val="66581E87"/>
    <w:rsid w:val="66766EBB"/>
    <w:rsid w:val="66FA11D5"/>
    <w:rsid w:val="674302C7"/>
    <w:rsid w:val="67CB09D8"/>
    <w:rsid w:val="67EE3B0F"/>
    <w:rsid w:val="680A5986"/>
    <w:rsid w:val="680D5F4B"/>
    <w:rsid w:val="68113F51"/>
    <w:rsid w:val="68B272C7"/>
    <w:rsid w:val="68E94770"/>
    <w:rsid w:val="68EC1CEF"/>
    <w:rsid w:val="68F949C9"/>
    <w:rsid w:val="695A4290"/>
    <w:rsid w:val="696F3649"/>
    <w:rsid w:val="6A267606"/>
    <w:rsid w:val="6A334932"/>
    <w:rsid w:val="6A3353FF"/>
    <w:rsid w:val="6A5D63E6"/>
    <w:rsid w:val="6A5F24D1"/>
    <w:rsid w:val="6ACA70C4"/>
    <w:rsid w:val="6AE347EB"/>
    <w:rsid w:val="6B330365"/>
    <w:rsid w:val="6B434AF0"/>
    <w:rsid w:val="6B57675A"/>
    <w:rsid w:val="6B87098A"/>
    <w:rsid w:val="6BDD7B4D"/>
    <w:rsid w:val="6EBC0B3A"/>
    <w:rsid w:val="6EF51C7D"/>
    <w:rsid w:val="6F8363E5"/>
    <w:rsid w:val="6F841DCF"/>
    <w:rsid w:val="6FA80CCD"/>
    <w:rsid w:val="6FAC3CC5"/>
    <w:rsid w:val="6FC746F5"/>
    <w:rsid w:val="6FE33EF5"/>
    <w:rsid w:val="70317AC6"/>
    <w:rsid w:val="704B26F7"/>
    <w:rsid w:val="70697B21"/>
    <w:rsid w:val="70863262"/>
    <w:rsid w:val="70A76ED3"/>
    <w:rsid w:val="71860B17"/>
    <w:rsid w:val="723B27CC"/>
    <w:rsid w:val="72687227"/>
    <w:rsid w:val="72A03FD9"/>
    <w:rsid w:val="73406CFF"/>
    <w:rsid w:val="7383028C"/>
    <w:rsid w:val="73A25E44"/>
    <w:rsid w:val="741F68CF"/>
    <w:rsid w:val="75252DF3"/>
    <w:rsid w:val="75621536"/>
    <w:rsid w:val="75BF3154"/>
    <w:rsid w:val="75DA4A2D"/>
    <w:rsid w:val="764A07CF"/>
    <w:rsid w:val="764F6B3D"/>
    <w:rsid w:val="76CD2B7B"/>
    <w:rsid w:val="76D80645"/>
    <w:rsid w:val="76E03371"/>
    <w:rsid w:val="771211AA"/>
    <w:rsid w:val="77736C04"/>
    <w:rsid w:val="780E5898"/>
    <w:rsid w:val="782642CC"/>
    <w:rsid w:val="7894095E"/>
    <w:rsid w:val="78964555"/>
    <w:rsid w:val="78CF4963"/>
    <w:rsid w:val="79000679"/>
    <w:rsid w:val="7916258F"/>
    <w:rsid w:val="791C0FE5"/>
    <w:rsid w:val="79A416F0"/>
    <w:rsid w:val="79B03EB6"/>
    <w:rsid w:val="79B61437"/>
    <w:rsid w:val="7AE15A5C"/>
    <w:rsid w:val="7AF37579"/>
    <w:rsid w:val="7AF87F64"/>
    <w:rsid w:val="7B1C0C84"/>
    <w:rsid w:val="7B5A62DF"/>
    <w:rsid w:val="7B7A04A8"/>
    <w:rsid w:val="7B8E4662"/>
    <w:rsid w:val="7C0C3F6D"/>
    <w:rsid w:val="7C22163C"/>
    <w:rsid w:val="7C457B4B"/>
    <w:rsid w:val="7C595075"/>
    <w:rsid w:val="7C6B07B2"/>
    <w:rsid w:val="7D133243"/>
    <w:rsid w:val="7D945420"/>
    <w:rsid w:val="7D997857"/>
    <w:rsid w:val="7DD07A4B"/>
    <w:rsid w:val="7E394207"/>
    <w:rsid w:val="7E4007A2"/>
    <w:rsid w:val="7E791CAD"/>
    <w:rsid w:val="7EA50DFB"/>
    <w:rsid w:val="7EC86878"/>
    <w:rsid w:val="7EFD0743"/>
    <w:rsid w:val="7F16390D"/>
    <w:rsid w:val="7F752917"/>
    <w:rsid w:val="7FD10FC1"/>
    <w:rsid w:val="7FE37961"/>
    <w:rsid w:val="7FF63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1"/>
        <o:r id="V:Rule2" type="connector" idref="#_x0000_s2053"/>
        <o:r id="V:Rule3" type="connector" idref="#_x0000_s2054"/>
        <o:r id="V:Rule4" type="connector" idref="#_x0000_s2055"/>
        <o:r id="V:Rule5" type="connector" idref="#_x0000_s2056"/>
        <o:r id="V:Rule6" type="connector" idref="#_x0000_s2057"/>
        <o:r id="V:Rule7" type="connector" idref="#_x0000_s2058"/>
        <o:r id="V:Rule8" type="connector" idref="#_x0000_s2059"/>
        <o:r id="V:Rule9" type="connector" idref="#_x0000_s2064"/>
        <o:r id="V:Rule10" type="connector" idref="#_x0000_s2065"/>
        <o:r id="V:Rule11" type="connector" idref="#_x0000_s2066"/>
        <o:r id="V:Rule12" type="connector" idref="#_x0000_s2067"/>
        <o:r id="V:Rule13" type="connector" idref="#_x0000_s2072"/>
        <o:r id="V:Rule14" type="connector" idref="#_x0000_s207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iPriority="99" w:semiHidden="0"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0"/>
    <w:autoRedefine/>
    <w:qFormat/>
    <w:uiPriority w:val="9"/>
    <w:pPr>
      <w:keepNext/>
      <w:keepLines/>
      <w:spacing w:before="340" w:after="330" w:line="578" w:lineRule="auto"/>
      <w:jc w:val="center"/>
      <w:outlineLvl w:val="0"/>
    </w:pPr>
    <w:rPr>
      <w:rFonts w:eastAsia="方正小标宋简体"/>
      <w:bCs/>
      <w:kern w:val="44"/>
      <w:sz w:val="44"/>
      <w:szCs w:val="44"/>
    </w:rPr>
  </w:style>
  <w:style w:type="paragraph" w:styleId="4">
    <w:name w:val="heading 2"/>
    <w:basedOn w:val="1"/>
    <w:next w:val="1"/>
    <w:link w:val="31"/>
    <w:unhideWhenUsed/>
    <w:qFormat/>
    <w:uiPriority w:val="9"/>
    <w:pPr>
      <w:keepNext/>
      <w:keepLines/>
      <w:spacing w:before="260" w:after="260" w:line="416" w:lineRule="auto"/>
      <w:jc w:val="center"/>
      <w:outlineLvl w:val="1"/>
    </w:pPr>
    <w:rPr>
      <w:rFonts w:eastAsia="方正小标宋简体" w:asciiTheme="majorHAnsi" w:hAnsiTheme="majorHAnsi" w:cstheme="majorBidi"/>
      <w:bCs/>
      <w:sz w:val="36"/>
      <w:szCs w:val="32"/>
    </w:rPr>
  </w:style>
  <w:style w:type="paragraph" w:styleId="5">
    <w:name w:val="heading 3"/>
    <w:basedOn w:val="1"/>
    <w:next w:val="1"/>
    <w:link w:val="32"/>
    <w:autoRedefine/>
    <w:unhideWhenUsed/>
    <w:qFormat/>
    <w:uiPriority w:val="9"/>
    <w:pPr>
      <w:keepNext/>
      <w:keepLines/>
      <w:spacing w:before="260" w:after="260" w:line="416" w:lineRule="auto"/>
      <w:outlineLvl w:val="2"/>
    </w:pPr>
    <w:rPr>
      <w:rFonts w:ascii="Calibri" w:hAnsi="Calibri" w:eastAsia="宋体" w:cs="Times New Roman"/>
      <w:b/>
      <w:bCs/>
      <w:sz w:val="32"/>
      <w:szCs w:val="32"/>
    </w:rPr>
  </w:style>
  <w:style w:type="character" w:default="1" w:styleId="25">
    <w:name w:val="Default Paragraph Font"/>
    <w:autoRedefine/>
    <w:unhideWhenUsed/>
    <w:qFormat/>
    <w:uiPriority w:val="1"/>
  </w:style>
  <w:style w:type="table" w:default="1" w:styleId="23">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widowControl/>
      <w:adjustRightInd w:val="0"/>
      <w:snapToGrid w:val="0"/>
      <w:spacing w:after="200"/>
      <w:ind w:firstLine="420"/>
      <w:jc w:val="left"/>
    </w:pPr>
    <w:rPr>
      <w:rFonts w:ascii="Times New Roman" w:hAnsi="Times New Roman" w:eastAsia="微软雅黑" w:cs="Tahoma"/>
      <w:kern w:val="0"/>
      <w:sz w:val="22"/>
      <w:szCs w:val="20"/>
    </w:rPr>
  </w:style>
  <w:style w:type="paragraph" w:styleId="6">
    <w:name w:val="Body Text 3"/>
    <w:basedOn w:val="1"/>
    <w:link w:val="40"/>
    <w:autoRedefine/>
    <w:unhideWhenUsed/>
    <w:qFormat/>
    <w:uiPriority w:val="99"/>
    <w:pPr>
      <w:spacing w:after="120"/>
    </w:pPr>
    <w:rPr>
      <w:sz w:val="16"/>
      <w:szCs w:val="16"/>
    </w:rPr>
  </w:style>
  <w:style w:type="paragraph" w:styleId="7">
    <w:name w:val="Body Text"/>
    <w:basedOn w:val="1"/>
    <w:next w:val="8"/>
    <w:autoRedefine/>
    <w:qFormat/>
    <w:uiPriority w:val="99"/>
    <w:pPr>
      <w:spacing w:after="120"/>
    </w:pPr>
  </w:style>
  <w:style w:type="paragraph" w:styleId="8">
    <w:name w:val="Body Text 2"/>
    <w:basedOn w:val="1"/>
    <w:autoRedefine/>
    <w:qFormat/>
    <w:uiPriority w:val="0"/>
    <w:pPr>
      <w:spacing w:after="120" w:line="480" w:lineRule="auto"/>
    </w:pPr>
  </w:style>
  <w:style w:type="paragraph" w:styleId="9">
    <w:name w:val="Body Text Indent"/>
    <w:basedOn w:val="1"/>
    <w:next w:val="10"/>
    <w:autoRedefine/>
    <w:qFormat/>
    <w:uiPriority w:val="0"/>
    <w:pPr>
      <w:widowControl w:val="0"/>
      <w:adjustRightInd w:val="0"/>
      <w:snapToGrid w:val="0"/>
      <w:spacing w:after="0" w:line="360" w:lineRule="exact"/>
      <w:ind w:firstLine="630"/>
      <w:jc w:val="both"/>
      <w:textAlignment w:val="baseline"/>
    </w:pPr>
    <w:rPr>
      <w:rFonts w:ascii="宋体" w:hAnsi="宋体" w:cs="Times New Roman"/>
      <w:color w:val="auto"/>
      <w:kern w:val="0"/>
      <w:sz w:val="24"/>
      <w:szCs w:val="20"/>
    </w:rPr>
  </w:style>
  <w:style w:type="paragraph" w:styleId="10">
    <w:name w:val="envelope return"/>
    <w:basedOn w:val="1"/>
    <w:autoRedefine/>
    <w:qFormat/>
    <w:uiPriority w:val="0"/>
    <w:pPr>
      <w:snapToGrid w:val="0"/>
    </w:pPr>
    <w:rPr>
      <w:rFonts w:ascii="Arial" w:hAnsi="Arial"/>
      <w:szCs w:val="24"/>
    </w:rPr>
  </w:style>
  <w:style w:type="paragraph" w:styleId="11">
    <w:name w:val="toc 3"/>
    <w:basedOn w:val="1"/>
    <w:next w:val="1"/>
    <w:autoRedefine/>
    <w:unhideWhenUsed/>
    <w:qFormat/>
    <w:uiPriority w:val="39"/>
    <w:pPr>
      <w:widowControl/>
      <w:spacing w:after="100" w:line="276" w:lineRule="auto"/>
      <w:ind w:left="440"/>
      <w:jc w:val="left"/>
    </w:pPr>
    <w:rPr>
      <w:kern w:val="0"/>
      <w:sz w:val="22"/>
    </w:rPr>
  </w:style>
  <w:style w:type="paragraph" w:styleId="12">
    <w:name w:val="Plain Text"/>
    <w:basedOn w:val="1"/>
    <w:next w:val="13"/>
    <w:autoRedefine/>
    <w:qFormat/>
    <w:uiPriority w:val="0"/>
    <w:rPr>
      <w:rFonts w:ascii="宋体" w:hAnsi="Courier New"/>
      <w:szCs w:val="21"/>
    </w:rPr>
  </w:style>
  <w:style w:type="paragraph" w:customStyle="1" w:styleId="13">
    <w:name w:val="Default"/>
    <w:next w:val="14"/>
    <w:autoRedefine/>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styleId="14">
    <w:name w:val="List"/>
    <w:basedOn w:val="1"/>
    <w:next w:val="1"/>
    <w:autoRedefine/>
    <w:qFormat/>
    <w:uiPriority w:val="0"/>
    <w:pPr>
      <w:snapToGrid w:val="0"/>
    </w:pPr>
    <w:rPr>
      <w:szCs w:val="24"/>
    </w:rPr>
  </w:style>
  <w:style w:type="paragraph" w:styleId="15">
    <w:name w:val="Body Text Indent 2"/>
    <w:basedOn w:val="1"/>
    <w:autoRedefine/>
    <w:qFormat/>
    <w:uiPriority w:val="0"/>
    <w:pPr>
      <w:widowControl w:val="0"/>
      <w:adjustRightInd w:val="0"/>
      <w:spacing w:after="120" w:line="480" w:lineRule="auto"/>
      <w:ind w:left="420"/>
      <w:jc w:val="both"/>
      <w:textAlignment w:val="baseline"/>
    </w:pPr>
    <w:rPr>
      <w:rFonts w:ascii="Times New Roman" w:hAnsi="Times New Roman" w:cs="Times New Roman"/>
      <w:color w:val="auto"/>
      <w:kern w:val="0"/>
      <w:szCs w:val="20"/>
    </w:rPr>
  </w:style>
  <w:style w:type="paragraph" w:styleId="16">
    <w:name w:val="Balloon Text"/>
    <w:basedOn w:val="1"/>
    <w:link w:val="35"/>
    <w:autoRedefine/>
    <w:semiHidden/>
    <w:unhideWhenUsed/>
    <w:qFormat/>
    <w:uiPriority w:val="99"/>
    <w:rPr>
      <w:sz w:val="18"/>
      <w:szCs w:val="18"/>
    </w:rPr>
  </w:style>
  <w:style w:type="paragraph" w:styleId="17">
    <w:name w:val="footer"/>
    <w:basedOn w:val="1"/>
    <w:link w:val="29"/>
    <w:autoRedefine/>
    <w:unhideWhenUsed/>
    <w:qFormat/>
    <w:uiPriority w:val="99"/>
    <w:pPr>
      <w:tabs>
        <w:tab w:val="center" w:pos="4153"/>
        <w:tab w:val="right" w:pos="8306"/>
      </w:tabs>
      <w:snapToGrid w:val="0"/>
      <w:jc w:val="left"/>
    </w:pPr>
    <w:rPr>
      <w:sz w:val="18"/>
      <w:szCs w:val="18"/>
    </w:rPr>
  </w:style>
  <w:style w:type="paragraph" w:styleId="18">
    <w:name w:val="header"/>
    <w:basedOn w:val="1"/>
    <w:link w:val="2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autoRedefine/>
    <w:unhideWhenUsed/>
    <w:qFormat/>
    <w:uiPriority w:val="39"/>
    <w:pPr>
      <w:widowControl/>
      <w:spacing w:after="100" w:line="276" w:lineRule="auto"/>
      <w:jc w:val="left"/>
    </w:pPr>
    <w:rPr>
      <w:kern w:val="0"/>
      <w:sz w:val="22"/>
    </w:rPr>
  </w:style>
  <w:style w:type="paragraph" w:styleId="20">
    <w:name w:val="toc 2"/>
    <w:basedOn w:val="1"/>
    <w:next w:val="1"/>
    <w:autoRedefine/>
    <w:unhideWhenUsed/>
    <w:qFormat/>
    <w:uiPriority w:val="39"/>
    <w:pPr>
      <w:widowControl/>
      <w:tabs>
        <w:tab w:val="right" w:leader="dot" w:pos="8834"/>
      </w:tabs>
      <w:spacing w:after="100" w:line="276" w:lineRule="auto"/>
      <w:ind w:left="-1" w:leftChars="-1" w:hanging="2"/>
      <w:jc w:val="left"/>
    </w:pPr>
    <w:rPr>
      <w:kern w:val="0"/>
      <w:sz w:val="22"/>
    </w:rPr>
  </w:style>
  <w:style w:type="paragraph" w:styleId="21">
    <w:name w:val="Normal (Web)"/>
    <w:basedOn w:val="1"/>
    <w:autoRedefine/>
    <w:qFormat/>
    <w:uiPriority w:val="99"/>
    <w:pPr>
      <w:spacing w:before="100" w:beforeAutospacing="1" w:after="100" w:afterAutospacing="1" w:line="240" w:lineRule="auto"/>
    </w:pPr>
    <w:rPr>
      <w:rFonts w:ascii="宋体" w:hAnsi="宋体" w:cs="Times New Roman"/>
      <w:color w:val="auto"/>
      <w:kern w:val="0"/>
      <w:sz w:val="24"/>
      <w:szCs w:val="24"/>
    </w:rPr>
  </w:style>
  <w:style w:type="paragraph" w:styleId="22">
    <w:name w:val="Body Text First Indent 2"/>
    <w:basedOn w:val="9"/>
    <w:autoRedefine/>
    <w:qFormat/>
    <w:uiPriority w:val="0"/>
    <w:pPr>
      <w:adjustRightInd w:val="0"/>
      <w:spacing w:line="360" w:lineRule="auto"/>
      <w:ind w:left="0" w:leftChars="0" w:firstLine="420"/>
      <w:textAlignment w:val="baseline"/>
    </w:pPr>
    <w:rPr>
      <w:rFonts w:eastAsia="等线" w:cs="Times New Roman"/>
      <w:color w:val="000000"/>
      <w:szCs w:val="24"/>
    </w:rPr>
  </w:style>
  <w:style w:type="table" w:styleId="24">
    <w:name w:val="Table Grid"/>
    <w:basedOn w:val="23"/>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6">
    <w:name w:val="Strong"/>
    <w:basedOn w:val="25"/>
    <w:autoRedefine/>
    <w:qFormat/>
    <w:uiPriority w:val="22"/>
    <w:rPr>
      <w:rFonts w:eastAsia="宋体"/>
      <w:b/>
      <w:bCs/>
      <w:kern w:val="2"/>
      <w:sz w:val="24"/>
      <w:szCs w:val="24"/>
      <w:lang w:val="en-US" w:eastAsia="zh-CN" w:bidi="ar-SA"/>
    </w:rPr>
  </w:style>
  <w:style w:type="character" w:styleId="27">
    <w:name w:val="Hyperlink"/>
    <w:basedOn w:val="25"/>
    <w:autoRedefine/>
    <w:unhideWhenUsed/>
    <w:qFormat/>
    <w:uiPriority w:val="99"/>
    <w:rPr>
      <w:color w:val="0000FF" w:themeColor="hyperlink"/>
      <w:u w:val="single"/>
    </w:rPr>
  </w:style>
  <w:style w:type="character" w:customStyle="1" w:styleId="28">
    <w:name w:val="页眉 Char"/>
    <w:basedOn w:val="25"/>
    <w:link w:val="18"/>
    <w:autoRedefine/>
    <w:semiHidden/>
    <w:qFormat/>
    <w:uiPriority w:val="99"/>
    <w:rPr>
      <w:sz w:val="18"/>
      <w:szCs w:val="18"/>
    </w:rPr>
  </w:style>
  <w:style w:type="character" w:customStyle="1" w:styleId="29">
    <w:name w:val="页脚 Char"/>
    <w:basedOn w:val="25"/>
    <w:link w:val="17"/>
    <w:autoRedefine/>
    <w:qFormat/>
    <w:uiPriority w:val="99"/>
    <w:rPr>
      <w:sz w:val="18"/>
      <w:szCs w:val="18"/>
    </w:rPr>
  </w:style>
  <w:style w:type="character" w:customStyle="1" w:styleId="30">
    <w:name w:val="标题 1 Char"/>
    <w:basedOn w:val="25"/>
    <w:link w:val="3"/>
    <w:autoRedefine/>
    <w:qFormat/>
    <w:uiPriority w:val="9"/>
    <w:rPr>
      <w:rFonts w:eastAsia="方正小标宋简体"/>
      <w:bCs/>
      <w:kern w:val="44"/>
      <w:sz w:val="44"/>
      <w:szCs w:val="44"/>
    </w:rPr>
  </w:style>
  <w:style w:type="character" w:customStyle="1" w:styleId="31">
    <w:name w:val="标题 2 Char"/>
    <w:basedOn w:val="25"/>
    <w:link w:val="4"/>
    <w:autoRedefine/>
    <w:qFormat/>
    <w:uiPriority w:val="9"/>
    <w:rPr>
      <w:rFonts w:eastAsia="方正小标宋简体" w:asciiTheme="majorHAnsi" w:hAnsiTheme="majorHAnsi" w:cstheme="majorBidi"/>
      <w:bCs/>
      <w:sz w:val="36"/>
      <w:szCs w:val="32"/>
    </w:rPr>
  </w:style>
  <w:style w:type="character" w:customStyle="1" w:styleId="32">
    <w:name w:val="标题 3 Char"/>
    <w:basedOn w:val="25"/>
    <w:link w:val="5"/>
    <w:autoRedefine/>
    <w:qFormat/>
    <w:uiPriority w:val="9"/>
    <w:rPr>
      <w:rFonts w:ascii="Calibri" w:hAnsi="Calibri" w:eastAsia="宋体" w:cs="Times New Roman"/>
      <w:b/>
      <w:bCs/>
      <w:sz w:val="32"/>
      <w:szCs w:val="32"/>
    </w:rPr>
  </w:style>
  <w:style w:type="paragraph" w:styleId="33">
    <w:name w:val="List Paragraph"/>
    <w:basedOn w:val="1"/>
    <w:link w:val="41"/>
    <w:autoRedefine/>
    <w:qFormat/>
    <w:uiPriority w:val="34"/>
    <w:pPr>
      <w:ind w:firstLine="420" w:firstLineChars="200"/>
    </w:pPr>
  </w:style>
  <w:style w:type="paragraph" w:customStyle="1" w:styleId="34">
    <w:name w:val="TOC Heading"/>
    <w:basedOn w:val="3"/>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5">
    <w:name w:val="批注框文本 Char"/>
    <w:basedOn w:val="25"/>
    <w:link w:val="16"/>
    <w:autoRedefine/>
    <w:semiHidden/>
    <w:qFormat/>
    <w:uiPriority w:val="99"/>
    <w:rPr>
      <w:sz w:val="18"/>
      <w:szCs w:val="18"/>
    </w:rPr>
  </w:style>
  <w:style w:type="paragraph" w:styleId="36">
    <w:name w:val="No Spacing"/>
    <w:autoRedefine/>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
    <w:name w:val="CM97"/>
    <w:basedOn w:val="13"/>
    <w:next w:val="13"/>
    <w:autoRedefine/>
    <w:qFormat/>
    <w:uiPriority w:val="0"/>
    <w:pPr>
      <w:spacing w:after="373"/>
    </w:pPr>
    <w:rPr>
      <w:color w:val="auto"/>
    </w:rPr>
  </w:style>
  <w:style w:type="paragraph" w:customStyle="1" w:styleId="38">
    <w:name w:val="CM91"/>
    <w:basedOn w:val="13"/>
    <w:next w:val="13"/>
    <w:autoRedefine/>
    <w:qFormat/>
    <w:uiPriority w:val="0"/>
    <w:pPr>
      <w:spacing w:after="160"/>
    </w:pPr>
    <w:rPr>
      <w:color w:val="auto"/>
    </w:rPr>
  </w:style>
  <w:style w:type="character" w:customStyle="1" w:styleId="39">
    <w:name w:val="正文文本 3 Char"/>
    <w:link w:val="6"/>
    <w:autoRedefine/>
    <w:qFormat/>
    <w:uiPriority w:val="99"/>
    <w:rPr>
      <w:sz w:val="16"/>
      <w:szCs w:val="16"/>
    </w:rPr>
  </w:style>
  <w:style w:type="character" w:customStyle="1" w:styleId="40">
    <w:name w:val="正文文本 3 Char1"/>
    <w:basedOn w:val="25"/>
    <w:link w:val="6"/>
    <w:autoRedefine/>
    <w:semiHidden/>
    <w:qFormat/>
    <w:uiPriority w:val="99"/>
    <w:rPr>
      <w:sz w:val="16"/>
      <w:szCs w:val="16"/>
    </w:rPr>
  </w:style>
  <w:style w:type="character" w:customStyle="1" w:styleId="41">
    <w:name w:val="列出段落 Char"/>
    <w:link w:val="33"/>
    <w:autoRedefine/>
    <w:qFormat/>
    <w:uiPriority w:val="34"/>
  </w:style>
  <w:style w:type="paragraph" w:customStyle="1" w:styleId="42">
    <w:name w:val="1"/>
    <w:basedOn w:val="1"/>
    <w:next w:val="12"/>
    <w:autoRedefine/>
    <w:qFormat/>
    <w:uiPriority w:val="99"/>
    <w:pPr>
      <w:widowControl w:val="0"/>
      <w:jc w:val="both"/>
    </w:pPr>
    <w:rPr>
      <w:rFonts w:ascii="宋体" w:hAnsi="Courier New"/>
      <w:kern w:val="2"/>
    </w:rPr>
  </w:style>
  <w:style w:type="paragraph" w:customStyle="1" w:styleId="43">
    <w:name w:val="WPSOffice手动目录 1"/>
    <w:autoRedefine/>
    <w:qFormat/>
    <w:uiPriority w:val="0"/>
    <w:pPr>
      <w:ind w:leftChars="0"/>
    </w:pPr>
    <w:rPr>
      <w:rFonts w:asciiTheme="minorHAnsi" w:hAnsiTheme="minorHAnsi" w:eastAsiaTheme="minorEastAsia" w:cstheme="minorBidi"/>
      <w:sz w:val="20"/>
      <w:szCs w:val="20"/>
    </w:rPr>
  </w:style>
  <w:style w:type="paragraph" w:customStyle="1" w:styleId="44">
    <w:name w:val="WPSOffice手动目录 2"/>
    <w:autoRedefine/>
    <w:qFormat/>
    <w:uiPriority w:val="0"/>
    <w:pPr>
      <w:ind w:leftChars="200"/>
    </w:pPr>
    <w:rPr>
      <w:rFonts w:asciiTheme="minorHAnsi" w:hAnsiTheme="minorHAnsi" w:eastAsiaTheme="minorEastAsia" w:cstheme="minorBidi"/>
      <w:sz w:val="20"/>
      <w:szCs w:val="20"/>
    </w:rPr>
  </w:style>
  <w:style w:type="paragraph" w:customStyle="1" w:styleId="45">
    <w:name w:val="WPSOffice手动目录 3"/>
    <w:autoRedefine/>
    <w:qFormat/>
    <w:uiPriority w:val="0"/>
    <w:pPr>
      <w:ind w:leftChars="400"/>
    </w:pPr>
    <w:rPr>
      <w:rFonts w:asciiTheme="minorHAnsi" w:hAnsiTheme="minorHAnsi" w:eastAsiaTheme="minorEastAsia" w:cstheme="minorBidi"/>
      <w:sz w:val="20"/>
      <w:szCs w:val="20"/>
    </w:rPr>
  </w:style>
  <w:style w:type="paragraph" w:customStyle="1" w:styleId="46">
    <w:name w:val="Default1"/>
    <w:autoRedefine/>
    <w:qFormat/>
    <w:uiPriority w:val="0"/>
    <w:pPr>
      <w:widowControl w:val="0"/>
      <w:autoSpaceDE w:val="0"/>
      <w:autoSpaceDN w:val="0"/>
      <w:adjustRightInd w:val="0"/>
    </w:pPr>
    <w:rPr>
      <w:rFonts w:ascii="宋体" w:hAnsi="Times New Roman" w:eastAsia="仿宋_GB2312" w:cs="宋体"/>
      <w:color w:val="000000"/>
      <w:sz w:val="24"/>
      <w:szCs w:val="24"/>
      <w:lang w:val="en-US" w:eastAsia="zh-CN" w:bidi="ar-SA"/>
    </w:rPr>
  </w:style>
  <w:style w:type="paragraph" w:customStyle="1" w:styleId="47">
    <w:name w:val="_Style 1"/>
    <w:basedOn w:val="1"/>
    <w:autoRedefine/>
    <w:qFormat/>
    <w:uiPriority w:val="0"/>
    <w:pPr>
      <w:ind w:firstLine="200" w:firstLineChars="200"/>
    </w:pPr>
    <w:rPr>
      <w:rFonts w:ascii="Calibri" w:hAnsi="Calibri" w:eastAsia="宋体" w:cs="Times New Roman"/>
    </w:rPr>
  </w:style>
  <w:style w:type="paragraph" w:customStyle="1" w:styleId="48">
    <w:name w:val="_Style 4"/>
    <w:basedOn w:val="3"/>
    <w:next w:val="1"/>
    <w:autoRedefine/>
    <w:qFormat/>
    <w:uiPriority w:val="0"/>
    <w:pPr>
      <w:keepNext w:val="0"/>
      <w:keepLines w:val="0"/>
      <w:widowControl w:val="0"/>
      <w:spacing w:after="0" w:line="576" w:lineRule="auto"/>
      <w:ind w:left="0" w:right="0" w:firstLine="0"/>
      <w:jc w:val="left"/>
      <w:outlineLvl w:val="9"/>
    </w:pPr>
    <w:rPr>
      <w:rFonts w:ascii="Calibri" w:hAnsi="Calibri" w:cs="Times New Roman"/>
      <w:color w:val="auto"/>
      <w:kern w:val="0"/>
      <w:sz w:val="44"/>
      <w:szCs w:val="44"/>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5" textRotate="1"/>
    <customShpInfo spid="_x0000_s3076" textRotate="1"/>
    <customShpInfo spid="_x0000_s3073" textRotate="1"/>
    <customShpInfo spid="_x0000_s2065"/>
    <customShpInfo spid="_x0000_s2064"/>
    <customShpInfo spid="_x0000_s2066"/>
    <customShpInfo spid="_x0000_s2067"/>
    <customShpInfo spid="_x0000_s2053"/>
    <customShpInfo spid="_x0000_s2051"/>
    <customShpInfo spid="_x0000_s2055"/>
    <customShpInfo spid="_x0000_s2054"/>
    <customShpInfo spid="_x0000_s2072"/>
    <customShpInfo spid="_x0000_s2073"/>
    <customShpInfo spid="_x0000_s2057"/>
    <customShpInfo spid="_x0000_s2056"/>
    <customShpInfo spid="_x0000_s2059"/>
    <customShpInfo spid="_x0000_s2058"/>
    <customShpInfo spid="_x0000_s2060"/>
    <customShpInfo spid="_x0000_s206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42</Pages>
  <Words>9906</Words>
  <Characters>10344</Characters>
  <Lines>300</Lines>
  <Paragraphs>84</Paragraphs>
  <TotalTime>376</TotalTime>
  <ScaleCrop>false</ScaleCrop>
  <LinksUpToDate>false</LinksUpToDate>
  <CharactersWithSpaces>12338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2022-04-28T08:15:00Z</dcterms:created>
  <dc:creator>陈义春</dc:creator>
  <cp:lastModifiedBy>李兴儿</cp:lastModifiedBy>
  <cp:lastPrinted>2024-04-07T07:53:00Z</cp:lastPrinted>
  <dcterms:modified xsi:type="dcterms:W3CDTF">2024-04-12T02:28:07Z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A16D6DC8326945AC9168607D4B687526</vt:lpwstr>
  </property>
</Properties>
</file>